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D02F05" w:rsidP="006F3279">
      <w:pPr>
        <w:spacing w:after="240"/>
        <w:rPr>
          <w:i/>
          <w:sz w:val="18"/>
          <w:szCs w:val="18"/>
        </w:rPr>
      </w:pPr>
      <w:r>
        <w:rPr>
          <w:i/>
          <w:sz w:val="18"/>
          <w:szCs w:val="18"/>
        </w:rPr>
        <w:t xml:space="preserve">Physics &gt; Big idea PMA: Matter &gt; Topic PMA2: Floating and sinking </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D02F05">
            <w:pPr>
              <w:spacing w:after="60"/>
              <w:ind w:left="1304"/>
              <w:rPr>
                <w:b/>
                <w:sz w:val="40"/>
                <w:szCs w:val="40"/>
              </w:rPr>
            </w:pPr>
            <w:r>
              <w:rPr>
                <w:b/>
                <w:sz w:val="40"/>
                <w:szCs w:val="40"/>
              </w:rPr>
              <w:t>P</w:t>
            </w:r>
            <w:r w:rsidR="00D02F05">
              <w:rPr>
                <w:b/>
                <w:sz w:val="40"/>
                <w:szCs w:val="40"/>
              </w:rPr>
              <w:t>MA2</w:t>
            </w:r>
            <w:r w:rsidR="00821188">
              <w:rPr>
                <w:b/>
                <w:sz w:val="40"/>
                <w:szCs w:val="40"/>
              </w:rPr>
              <w:t>.</w:t>
            </w:r>
            <w:r w:rsidR="00D02F05">
              <w:rPr>
                <w:b/>
                <w:sz w:val="40"/>
                <w:szCs w:val="40"/>
              </w:rPr>
              <w:t>1</w:t>
            </w:r>
            <w:r w:rsidR="00821188">
              <w:rPr>
                <w:b/>
                <w:sz w:val="40"/>
                <w:szCs w:val="40"/>
              </w:rPr>
              <w:t xml:space="preserve">: </w:t>
            </w:r>
            <w:r w:rsidR="00D02F05">
              <w:rPr>
                <w:b/>
                <w:sz w:val="40"/>
                <w:szCs w:val="40"/>
              </w:rPr>
              <w:t>Floating, sinking and density</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D02F05" w:rsidRDefault="00D02F05" w:rsidP="00D02F05">
      <w:pPr>
        <w:spacing w:after="180"/>
        <w:rPr>
          <w:highlight w:val="yellow"/>
        </w:rPr>
      </w:pPr>
      <w:r w:rsidRPr="00DD4D20">
        <w:t>A big idea in</w:t>
      </w:r>
      <w:r>
        <w:t xml:space="preserve"> physics</w:t>
      </w:r>
      <w:r w:rsidRPr="00DD4D20">
        <w:t xml:space="preserve"> is </w:t>
      </w:r>
      <w:r>
        <w:t>matter.</w:t>
      </w:r>
      <w:r w:rsidRPr="00A622D8">
        <w:t xml:space="preserve"> Matter is </w:t>
      </w:r>
      <w:r>
        <w:t>a more formal word for ‘stuff’.</w:t>
      </w:r>
      <w:r w:rsidRPr="00A622D8">
        <w:t xml:space="preserve"> Anything that can be stored in a con</w:t>
      </w:r>
      <w:r>
        <w:t xml:space="preserve">tainer, or weighed, is matter. </w:t>
      </w:r>
      <w:r w:rsidRPr="00A622D8">
        <w:t>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CA7A5E">
        <w:t xml:space="preserve">building on an understanding of the properties an object has that enable it to float, to develop a general principle that can be used </w:t>
      </w:r>
      <w:r w:rsidR="00A31617">
        <w:t>to determine how well</w:t>
      </w:r>
      <w:r w:rsidR="00CA7A5E">
        <w:t xml:space="preserve"> something will float.</w:t>
      </w:r>
    </w:p>
    <w:p w:rsidR="006A01DE" w:rsidRDefault="00D02F05"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4349115</wp:posOffset>
            </wp:positionH>
            <wp:positionV relativeFrom="paragraph">
              <wp:posOffset>331363</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The conceptual progression star</w:t>
      </w:r>
      <w:r w:rsidR="001C45B5">
        <w:t>ts by checking understanding of what is meant by floating</w:t>
      </w:r>
      <w:r w:rsidR="006A01DE">
        <w:t xml:space="preserve">. It </w:t>
      </w:r>
      <w:r w:rsidR="005B4275">
        <w:t xml:space="preserve">then </w:t>
      </w:r>
      <w:r w:rsidR="00AA66F3">
        <w:t>supports the development of</w:t>
      </w:r>
      <w:r w:rsidR="006A01DE">
        <w:t xml:space="preserve"> </w:t>
      </w:r>
      <w:r w:rsidR="001C45B5">
        <w:t>a qualitative understanding of density</w:t>
      </w:r>
      <w:r w:rsidR="006A01DE">
        <w:t xml:space="preserve"> in order to enable understanding </w:t>
      </w:r>
      <w:r w:rsidR="006A01DE" w:rsidRPr="001C45B5">
        <w:t xml:space="preserve">of </w:t>
      </w:r>
      <w:r w:rsidR="001C45B5" w:rsidRPr="001C45B5">
        <w:t>why the density of an object and the density of the fluid it is in</w:t>
      </w:r>
      <w:r w:rsidR="00A62473">
        <w:t>,</w:t>
      </w:r>
      <w:r w:rsidR="001C45B5" w:rsidRPr="001C45B5">
        <w:t xml:space="preserve"> both affect how </w:t>
      </w:r>
      <w:r w:rsidR="001C45B5">
        <w:t xml:space="preserve">well </w:t>
      </w:r>
      <w:r w:rsidR="001C45B5" w:rsidRPr="001C45B5">
        <w:t>it floats</w:t>
      </w:r>
      <w:r w:rsidR="006A01DE" w:rsidRPr="001C45B5">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761D32" w:rsidRDefault="00D40D1E">
      <w:pPr>
        <w:spacing w:after="200" w:line="276" w:lineRule="auto"/>
        <w:rPr>
          <w:b/>
          <w:color w:val="5F497A" w:themeColor="accent4" w:themeShade="BF"/>
          <w:sz w:val="24"/>
        </w:rPr>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D02F05">
        <w:rPr>
          <w:b/>
          <w:color w:val="5F497A" w:themeColor="accent4" w:themeShade="BF"/>
          <w:sz w:val="24"/>
        </w:rPr>
        <w:t>Floating, sinking and density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750BC7" w:rsidP="00D566D1">
            <w:pPr>
              <w:jc w:val="center"/>
              <w:rPr>
                <w:rFonts w:cstheme="minorHAnsi"/>
                <w:sz w:val="24"/>
                <w:szCs w:val="20"/>
              </w:rPr>
            </w:pPr>
            <w:r>
              <w:rPr>
                <w:rFonts w:cstheme="minorHAnsi"/>
                <w:sz w:val="24"/>
                <w:szCs w:val="20"/>
              </w:rPr>
              <w:t xml:space="preserve">An object </w:t>
            </w:r>
            <w:r w:rsidR="00D566D1">
              <w:rPr>
                <w:rFonts w:cstheme="minorHAnsi"/>
                <w:sz w:val="24"/>
                <w:szCs w:val="20"/>
              </w:rPr>
              <w:t xml:space="preserve">that is surrounded by a fluid (liquid and/or gas) </w:t>
            </w:r>
            <w:r>
              <w:rPr>
                <w:rFonts w:cstheme="minorHAnsi"/>
                <w:sz w:val="24"/>
                <w:szCs w:val="20"/>
              </w:rPr>
              <w:t xml:space="preserve">floats if its overall density is less than the density of the </w:t>
            </w:r>
            <w:r w:rsidR="00D566D1">
              <w:rPr>
                <w:rFonts w:cstheme="minorHAnsi"/>
                <w:sz w:val="24"/>
                <w:szCs w:val="20"/>
              </w:rPr>
              <w:t>fluid</w:t>
            </w:r>
            <w:r>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313A4C">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313A4C">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A92A2E" w:rsidP="009B5270">
            <w:pPr>
              <w:spacing w:after="120"/>
              <w:rPr>
                <w:rFonts w:cstheme="minorHAnsi"/>
                <w:sz w:val="20"/>
                <w:szCs w:val="20"/>
              </w:rPr>
            </w:pPr>
            <w:r>
              <w:rPr>
                <w:rFonts w:cstheme="minorHAnsi"/>
                <w:sz w:val="20"/>
                <w:szCs w:val="20"/>
              </w:rPr>
              <w:t>Identify objects that are floating</w:t>
            </w:r>
            <w:r w:rsidR="00750BC7">
              <w:rPr>
                <w:rFonts w:cstheme="minorHAnsi"/>
                <w:sz w:val="20"/>
                <w:szCs w:val="20"/>
              </w:rPr>
              <w: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750BC7" w:rsidP="00F55ABC">
            <w:pPr>
              <w:spacing w:after="120"/>
              <w:rPr>
                <w:rFonts w:cstheme="minorHAnsi"/>
                <w:sz w:val="20"/>
                <w:szCs w:val="20"/>
              </w:rPr>
            </w:pPr>
            <w:r>
              <w:rPr>
                <w:rFonts w:cstheme="minorHAnsi"/>
                <w:sz w:val="20"/>
                <w:szCs w:val="20"/>
              </w:rPr>
              <w:t xml:space="preserve">Describe </w:t>
            </w:r>
            <w:r w:rsidR="00F55ABC">
              <w:rPr>
                <w:rFonts w:cstheme="minorHAnsi"/>
                <w:sz w:val="20"/>
                <w:szCs w:val="20"/>
              </w:rPr>
              <w:t xml:space="preserve">how the mass and volume of an object affect how well </w:t>
            </w:r>
            <w:r w:rsidR="00A92A2E">
              <w:rPr>
                <w:rFonts w:cstheme="minorHAnsi"/>
                <w:sz w:val="20"/>
                <w:szCs w:val="20"/>
              </w:rPr>
              <w:t>it float</w:t>
            </w:r>
            <w:r w:rsidR="00F55ABC">
              <w:rPr>
                <w:rFonts w:cstheme="minorHAnsi"/>
                <w:sz w:val="20"/>
                <w:szCs w:val="20"/>
              </w:rPr>
              <w:t>s</w:t>
            </w:r>
            <w:r>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F55ABC" w:rsidP="00F55ABC">
            <w:pPr>
              <w:spacing w:after="120"/>
              <w:rPr>
                <w:rFonts w:cstheme="minorHAnsi"/>
                <w:sz w:val="20"/>
                <w:szCs w:val="20"/>
              </w:rPr>
            </w:pPr>
            <w:r>
              <w:rPr>
                <w:rFonts w:cstheme="minorHAnsi"/>
                <w:sz w:val="20"/>
                <w:szCs w:val="20"/>
              </w:rPr>
              <w:t>Describe</w:t>
            </w:r>
            <w:r w:rsidR="00750BC7">
              <w:rPr>
                <w:rFonts w:cstheme="minorHAnsi"/>
                <w:sz w:val="20"/>
                <w:szCs w:val="20"/>
              </w:rPr>
              <w:t xml:space="preserve"> how the shape of a</w:t>
            </w:r>
            <w:r>
              <w:rPr>
                <w:rFonts w:cstheme="minorHAnsi"/>
                <w:sz w:val="20"/>
                <w:szCs w:val="20"/>
              </w:rPr>
              <w:t>n</w:t>
            </w:r>
            <w:r w:rsidR="00750BC7">
              <w:rPr>
                <w:rFonts w:cstheme="minorHAnsi"/>
                <w:sz w:val="20"/>
                <w:szCs w:val="20"/>
              </w:rPr>
              <w:t xml:space="preserve"> object </w:t>
            </w:r>
            <w:r>
              <w:rPr>
                <w:rFonts w:cstheme="minorHAnsi"/>
                <w:sz w:val="20"/>
                <w:szCs w:val="20"/>
              </w:rPr>
              <w:t>affects how well it floats.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750BC7" w:rsidP="00F55ABC">
            <w:pPr>
              <w:spacing w:after="120"/>
              <w:rPr>
                <w:rFonts w:cstheme="minorHAnsi"/>
                <w:sz w:val="20"/>
                <w:szCs w:val="20"/>
              </w:rPr>
            </w:pPr>
            <w:r>
              <w:rPr>
                <w:rFonts w:cstheme="minorHAnsi"/>
                <w:sz w:val="20"/>
                <w:szCs w:val="20"/>
              </w:rPr>
              <w:t xml:space="preserve">Explain how the density of an object determines </w:t>
            </w:r>
            <w:r w:rsidR="00F55ABC">
              <w:rPr>
                <w:rFonts w:cstheme="minorHAnsi"/>
                <w:sz w:val="20"/>
                <w:szCs w:val="20"/>
              </w:rPr>
              <w:t>how well</w:t>
            </w:r>
            <w:r>
              <w:rPr>
                <w:rFonts w:cstheme="minorHAnsi"/>
                <w:sz w:val="20"/>
                <w:szCs w:val="20"/>
              </w:rPr>
              <w:t xml:space="preserve"> it floats.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750BC7" w:rsidP="009B5270">
            <w:pPr>
              <w:spacing w:after="120"/>
              <w:rPr>
                <w:rFonts w:cstheme="minorHAnsi"/>
                <w:sz w:val="20"/>
                <w:szCs w:val="20"/>
              </w:rPr>
            </w:pPr>
            <w:r>
              <w:rPr>
                <w:rFonts w:cstheme="minorHAnsi"/>
                <w:sz w:val="20"/>
                <w:szCs w:val="20"/>
              </w:rPr>
              <w:t xml:space="preserve">Explain </w:t>
            </w:r>
            <w:r w:rsidR="005F22E7">
              <w:rPr>
                <w:rFonts w:cstheme="minorHAnsi"/>
                <w:sz w:val="20"/>
                <w:szCs w:val="20"/>
              </w:rPr>
              <w:t>how the density of a liquid (or gas) determines how well objects float in it.</w:t>
            </w:r>
            <w:r w:rsidR="00313A4C">
              <w:rPr>
                <w:rFonts w:cstheme="minorHAnsi"/>
                <w:sz w:val="20"/>
                <w:szCs w:val="20"/>
              </w:rPr>
              <w:t xml:space="preserve"> </w:t>
            </w:r>
          </w:p>
          <w:p w:rsidR="00761D32" w:rsidRPr="000A4D1F" w:rsidRDefault="00761D32"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30"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P3EqKxUAgAAqw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B16E4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B16E45" w:rsidRPr="00E675A8" w:rsidTr="00B16E45">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B16E45" w:rsidRPr="003C7537" w:rsidRDefault="00B16E45"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E45" w:rsidRPr="00E675A8" w:rsidRDefault="00B16E45" w:rsidP="009B5270">
            <w:pPr>
              <w:jc w:val="center"/>
              <w:rPr>
                <w:rFonts w:cstheme="minorHAnsi"/>
                <w:sz w:val="20"/>
                <w:szCs w:val="20"/>
              </w:rPr>
            </w:pPr>
            <w:r w:rsidRPr="0014461B">
              <w:rPr>
                <w:rFonts w:cstheme="minorHAnsi"/>
                <w:sz w:val="20"/>
                <w:szCs w:val="20"/>
              </w:rPr>
              <w:t>Iceberg</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16E45" w:rsidRPr="00D12C25" w:rsidRDefault="00B16E45" w:rsidP="009B5270">
            <w:pPr>
              <w:jc w:val="center"/>
              <w:rPr>
                <w:rFonts w:cstheme="minorHAnsi"/>
                <w:color w:val="FF0000"/>
                <w:sz w:val="20"/>
                <w:szCs w:val="20"/>
              </w:rPr>
            </w:pPr>
            <w:r w:rsidRPr="00972CDD">
              <w:rPr>
                <w:rFonts w:cstheme="minorHAnsi"/>
                <w:sz w:val="20"/>
                <w:szCs w:val="20"/>
              </w:rPr>
              <w:t>Building bricks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E45" w:rsidRPr="00D12C25" w:rsidRDefault="00B16E45" w:rsidP="009B5270">
            <w:pPr>
              <w:jc w:val="center"/>
              <w:rPr>
                <w:rFonts w:cstheme="minorHAnsi"/>
                <w:color w:val="FF0000"/>
                <w:sz w:val="20"/>
                <w:szCs w:val="20"/>
              </w:rPr>
            </w:pPr>
            <w:r w:rsidRPr="00F67BA9">
              <w:rPr>
                <w:rFonts w:cstheme="minorHAnsi"/>
                <w:sz w:val="20"/>
                <w:szCs w:val="20"/>
              </w:rPr>
              <w:t>Flipping iceberg</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E45" w:rsidRPr="00D12C25" w:rsidRDefault="005A40BB" w:rsidP="009B5270">
            <w:pPr>
              <w:jc w:val="center"/>
              <w:rPr>
                <w:rFonts w:cstheme="minorHAnsi"/>
                <w:color w:val="FF0000"/>
                <w:sz w:val="20"/>
                <w:szCs w:val="20"/>
              </w:rPr>
            </w:pPr>
            <w:r w:rsidRPr="00714B06">
              <w:rPr>
                <w:rFonts w:cstheme="minorHAnsi"/>
                <w:sz w:val="20"/>
                <w:szCs w:val="20"/>
              </w:rPr>
              <w:t>Block float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B16E45" w:rsidRPr="00D12C25" w:rsidRDefault="00A962E1" w:rsidP="00A962E1">
            <w:pPr>
              <w:jc w:val="center"/>
              <w:rPr>
                <w:rFonts w:cstheme="minorHAnsi"/>
                <w:color w:val="FF0000"/>
                <w:sz w:val="20"/>
                <w:szCs w:val="20"/>
              </w:rPr>
            </w:pPr>
            <w:r w:rsidRPr="00B75BE1">
              <w:rPr>
                <w:rFonts w:cstheme="minorHAnsi"/>
                <w:sz w:val="20"/>
                <w:szCs w:val="20"/>
              </w:rPr>
              <w:t>Density column</w:t>
            </w:r>
          </w:p>
        </w:tc>
      </w:tr>
      <w:tr w:rsidR="00B16E45" w:rsidRPr="00E675A8" w:rsidTr="00B16E45">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B16E45" w:rsidRPr="00B37C53" w:rsidRDefault="00B16E45" w:rsidP="009B5270">
            <w:pPr>
              <w:rPr>
                <w:rFonts w:cstheme="minorHAnsi"/>
                <w:b/>
                <w:color w:val="FFFFFF" w:themeColor="background1"/>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16E45" w:rsidRPr="00E675A8" w:rsidRDefault="00B16E45" w:rsidP="00D12C25">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16E45" w:rsidRPr="00A33F3B" w:rsidRDefault="00B16E45" w:rsidP="009B5270">
            <w:pPr>
              <w:jc w:val="center"/>
              <w:rPr>
                <w:rFonts w:cstheme="minorHAnsi"/>
                <w:sz w:val="20"/>
                <w:szCs w:val="20"/>
              </w:rPr>
            </w:pPr>
            <w:r w:rsidRPr="00A33F3B">
              <w:rPr>
                <w:rFonts w:cstheme="minorHAnsi"/>
                <w:sz w:val="20"/>
                <w:szCs w:val="20"/>
              </w:rPr>
              <w:t>Fruit and veg</w:t>
            </w:r>
          </w:p>
        </w:tc>
        <w:tc>
          <w:tcPr>
            <w:tcW w:w="2439" w:type="dxa"/>
            <w:vMerge/>
            <w:tcBorders>
              <w:top w:val="dashed" w:sz="4"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16E45" w:rsidRPr="00E675A8" w:rsidRDefault="00B16E45" w:rsidP="009B5270">
            <w:pPr>
              <w:jc w:val="center"/>
              <w:rPr>
                <w:rFonts w:cstheme="minorHAnsi"/>
                <w:sz w:val="20"/>
                <w:szCs w:val="20"/>
              </w:rPr>
            </w:pPr>
          </w:p>
        </w:tc>
        <w:tc>
          <w:tcPr>
            <w:tcW w:w="2439" w:type="dxa"/>
            <w:vMerge/>
            <w:tcBorders>
              <w:top w:val="dashed" w:sz="4"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16E45" w:rsidRPr="00E675A8" w:rsidRDefault="00B16E45" w:rsidP="009B5270">
            <w:pPr>
              <w:jc w:val="center"/>
              <w:rPr>
                <w:rFonts w:cstheme="minorHAnsi"/>
                <w:sz w:val="20"/>
                <w:szCs w:val="20"/>
              </w:rPr>
            </w:pPr>
          </w:p>
        </w:tc>
        <w:tc>
          <w:tcPr>
            <w:tcW w:w="2439" w:type="dxa"/>
            <w:vMerge/>
            <w:tcBorders>
              <w:top w:val="dashed" w:sz="4"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16E45" w:rsidRPr="00E675A8" w:rsidRDefault="00B16E45" w:rsidP="009B5270">
            <w:pPr>
              <w:jc w:val="center"/>
              <w:rPr>
                <w:rFonts w:cstheme="minorHAnsi"/>
                <w:sz w:val="20"/>
                <w:szCs w:val="20"/>
              </w:rPr>
            </w:pPr>
          </w:p>
        </w:tc>
      </w:tr>
      <w:tr w:rsidR="00761D32" w:rsidRPr="00E675A8" w:rsidTr="00B16E4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A33F3B"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83BC5" w:rsidRPr="00E675A8" w:rsidTr="00C55D97">
        <w:trPr>
          <w:trHeight w:val="533"/>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783BC5" w:rsidRDefault="00783BC5"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83BC5" w:rsidRPr="003C7537" w:rsidRDefault="00783BC5"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783BC5" w:rsidRPr="00E675A8" w:rsidRDefault="00783BC5" w:rsidP="009B5270">
            <w:pPr>
              <w:jc w:val="center"/>
              <w:rPr>
                <w:rFonts w:cstheme="minorHAnsi"/>
                <w:sz w:val="20"/>
                <w:szCs w:val="20"/>
              </w:rPr>
            </w:pPr>
            <w:r w:rsidRPr="000D28BD">
              <w:rPr>
                <w:rFonts w:cstheme="minorHAnsi"/>
                <w:sz w:val="20"/>
                <w:szCs w:val="20"/>
              </w:rPr>
              <w:t>Submarines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783BC5" w:rsidRPr="00A33F3B" w:rsidRDefault="00783BC5" w:rsidP="009B5270">
            <w:pPr>
              <w:jc w:val="center"/>
              <w:rPr>
                <w:rFonts w:cstheme="minorHAnsi"/>
                <w:sz w:val="20"/>
                <w:szCs w:val="20"/>
              </w:rPr>
            </w:pPr>
            <w:r w:rsidRPr="00A33F3B">
              <w:rPr>
                <w:rFonts w:cstheme="minorHAnsi"/>
                <w:sz w:val="20"/>
                <w:szCs w:val="20"/>
              </w:rPr>
              <w:t>Block work</w:t>
            </w:r>
          </w:p>
        </w:tc>
        <w:tc>
          <w:tcPr>
            <w:tcW w:w="4878" w:type="dxa"/>
            <w:gridSpan w:val="2"/>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783BC5" w:rsidRPr="00D12C25" w:rsidRDefault="00783BC5" w:rsidP="009B5270">
            <w:pPr>
              <w:jc w:val="center"/>
              <w:rPr>
                <w:rFonts w:cstheme="minorHAnsi"/>
                <w:color w:val="FF0000"/>
                <w:sz w:val="20"/>
                <w:szCs w:val="20"/>
              </w:rPr>
            </w:pPr>
            <w:r w:rsidRPr="00E47DEF">
              <w:rPr>
                <w:rFonts w:cstheme="minorHAnsi"/>
                <w:sz w:val="20"/>
                <w:szCs w:val="20"/>
              </w:rPr>
              <w:t>Buoyancy</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783BC5" w:rsidRPr="00A962E1" w:rsidRDefault="00A962E1" w:rsidP="009B5270">
            <w:pPr>
              <w:jc w:val="center"/>
              <w:rPr>
                <w:rFonts w:cstheme="minorHAnsi"/>
                <w:color w:val="984806" w:themeColor="accent6" w:themeShade="80"/>
                <w:sz w:val="20"/>
                <w:szCs w:val="20"/>
              </w:rPr>
            </w:pPr>
            <w:r w:rsidRPr="00031FFA">
              <w:rPr>
                <w:rFonts w:cstheme="minorHAnsi"/>
                <w:sz w:val="20"/>
                <w:szCs w:val="20"/>
              </w:rPr>
              <w:t>Grape expectations</w:t>
            </w:r>
          </w:p>
        </w:tc>
      </w:tr>
      <w:tr w:rsidR="00F67BA9" w:rsidRPr="00E675A8" w:rsidTr="00FD7C2B">
        <w:trPr>
          <w:trHeight w:val="532"/>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67BA9" w:rsidRDefault="00F67BA9" w:rsidP="009B5270">
            <w:pPr>
              <w:rPr>
                <w:rFonts w:cstheme="minorHAnsi"/>
                <w:b/>
                <w:color w:val="FFFFFF" w:themeColor="background1"/>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67BA9" w:rsidRPr="000D28BD" w:rsidRDefault="00F67BA9" w:rsidP="009B5270">
            <w:pPr>
              <w:jc w:val="center"/>
              <w:rPr>
                <w:rFonts w:cstheme="minorHAnsi"/>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67BA9" w:rsidRPr="00A33F3B" w:rsidRDefault="00F67BA9" w:rsidP="009B5270">
            <w:pPr>
              <w:jc w:val="center"/>
              <w:rPr>
                <w:rFonts w:cstheme="minorHAnsi"/>
                <w:sz w:val="20"/>
                <w:szCs w:val="20"/>
              </w:rPr>
            </w:pPr>
          </w:p>
        </w:tc>
        <w:tc>
          <w:tcPr>
            <w:tcW w:w="4878" w:type="dxa"/>
            <w:gridSpan w:val="2"/>
            <w:tcBorders>
              <w:left w:val="single" w:sz="8" w:space="0" w:color="5F497A" w:themeColor="accent4" w:themeShade="BF"/>
              <w:right w:val="single" w:sz="8" w:space="0" w:color="5F497A" w:themeColor="accent4" w:themeShade="BF"/>
            </w:tcBorders>
            <w:shd w:val="clear" w:color="auto" w:fill="auto"/>
            <w:vAlign w:val="center"/>
          </w:tcPr>
          <w:p w:rsidR="00F67BA9" w:rsidRPr="00D12C25" w:rsidRDefault="00B322C0" w:rsidP="009B5270">
            <w:pPr>
              <w:jc w:val="center"/>
              <w:rPr>
                <w:rFonts w:cstheme="minorHAnsi"/>
                <w:color w:val="FF0000"/>
                <w:sz w:val="20"/>
                <w:szCs w:val="20"/>
              </w:rPr>
            </w:pPr>
            <w:r w:rsidRPr="0064587F">
              <w:rPr>
                <w:rFonts w:cstheme="minorHAnsi"/>
                <w:sz w:val="20"/>
                <w:szCs w:val="20"/>
              </w:rPr>
              <w:t>Clay boat</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F67BA9" w:rsidRPr="00D12C25" w:rsidRDefault="00F67BA9" w:rsidP="009B5270">
            <w:pPr>
              <w:jc w:val="center"/>
              <w:rPr>
                <w:rFonts w:cstheme="minorHAnsi"/>
                <w:color w:val="FF0000"/>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D3630D" w:rsidRPr="00D2452D"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974D00" w:rsidRDefault="00AB7C04" w:rsidP="009A68B9">
            <w:pPr>
              <w:jc w:val="center"/>
              <w:rPr>
                <w:rFonts w:cstheme="minorHAnsi"/>
                <w:b/>
                <w:color w:val="FF0000"/>
              </w:rPr>
            </w:pPr>
            <w:r w:rsidRPr="005F1DA6">
              <w:rPr>
                <w:rFonts w:cstheme="minorHAnsi"/>
                <w:b/>
              </w:rPr>
              <w:lastRenderedPageBreak/>
              <w:t>Iceberg</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974D00" w:rsidRDefault="00AB7C04" w:rsidP="009A68B9">
            <w:pPr>
              <w:jc w:val="center"/>
              <w:rPr>
                <w:rFonts w:cstheme="minorHAnsi"/>
                <w:b/>
                <w:color w:val="FF0000"/>
              </w:rPr>
            </w:pPr>
            <w:r w:rsidRPr="00764DED">
              <w:rPr>
                <w:rFonts w:cstheme="minorHAnsi"/>
                <w:b/>
              </w:rPr>
              <w:t>Building bricks</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974D00" w:rsidRDefault="00AB7C04" w:rsidP="009A68B9">
            <w:pPr>
              <w:jc w:val="center"/>
              <w:rPr>
                <w:rFonts w:cstheme="minorHAnsi"/>
                <w:b/>
                <w:color w:val="FF0000"/>
              </w:rPr>
            </w:pPr>
            <w:r w:rsidRPr="00C235D6">
              <w:rPr>
                <w:rFonts w:cstheme="minorHAnsi"/>
                <w:b/>
              </w:rPr>
              <w:t>Fruit and veg</w:t>
            </w:r>
          </w:p>
        </w:tc>
        <w:tc>
          <w:tcPr>
            <w:tcW w:w="2790" w:type="dxa"/>
            <w:tcBorders>
              <w:left w:val="single" w:sz="4" w:space="0" w:color="auto"/>
              <w:bottom w:val="nil"/>
            </w:tcBorders>
            <w:shd w:val="clear" w:color="auto" w:fill="E5DFEC" w:themeFill="accent4" w:themeFillTint="33"/>
            <w:vAlign w:val="center"/>
          </w:tcPr>
          <w:p w:rsidR="00793235" w:rsidRPr="00974D00" w:rsidRDefault="00AB7C04" w:rsidP="009A68B9">
            <w:pPr>
              <w:jc w:val="center"/>
              <w:rPr>
                <w:rFonts w:cstheme="minorHAnsi"/>
                <w:b/>
                <w:color w:val="FF0000"/>
              </w:rPr>
            </w:pPr>
            <w:r w:rsidRPr="002C7EB7">
              <w:rPr>
                <w:rFonts w:cstheme="minorHAnsi"/>
                <w:b/>
              </w:rPr>
              <w:t>Flipping iceberg</w:t>
            </w:r>
          </w:p>
        </w:tc>
        <w:tc>
          <w:tcPr>
            <w:tcW w:w="2790" w:type="dxa"/>
            <w:tcBorders>
              <w:bottom w:val="nil"/>
            </w:tcBorders>
            <w:shd w:val="clear" w:color="auto" w:fill="E5DFEC" w:themeFill="accent4" w:themeFillTint="33"/>
            <w:vAlign w:val="center"/>
          </w:tcPr>
          <w:p w:rsidR="00793235" w:rsidRPr="00974D00" w:rsidRDefault="00AB7C04" w:rsidP="009A68B9">
            <w:pPr>
              <w:jc w:val="center"/>
              <w:rPr>
                <w:rFonts w:cstheme="minorHAnsi"/>
                <w:b/>
                <w:color w:val="FF0000"/>
              </w:rPr>
            </w:pPr>
            <w:r w:rsidRPr="00DF690A">
              <w:rPr>
                <w:rFonts w:cstheme="minorHAnsi"/>
                <w:b/>
              </w:rPr>
              <w:t>Block float</w:t>
            </w:r>
          </w:p>
        </w:tc>
      </w:tr>
      <w:tr w:rsidR="00793235" w:rsidTr="009A68B9">
        <w:trPr>
          <w:trHeight w:hRule="exact" w:val="3515"/>
        </w:trPr>
        <w:tc>
          <w:tcPr>
            <w:tcW w:w="2789" w:type="dxa"/>
            <w:tcBorders>
              <w:top w:val="nil"/>
              <w:bottom w:val="nil"/>
            </w:tcBorders>
            <w:vAlign w:val="center"/>
          </w:tcPr>
          <w:p w:rsidR="00793235" w:rsidRPr="00AB7C04" w:rsidRDefault="00C4610C" w:rsidP="004338F2">
            <w:pPr>
              <w:jc w:val="center"/>
              <w:rPr>
                <w:b/>
                <w:sz w:val="24"/>
              </w:rPr>
            </w:pPr>
            <w:r>
              <w:rPr>
                <w:b/>
                <w:noProof/>
                <w:sz w:val="24"/>
                <w:lang w:eastAsia="en-GB"/>
              </w:rPr>
              <w:drawing>
                <wp:inline distT="0" distB="0" distL="0" distR="0">
                  <wp:extent cx="1519131" cy="2160000"/>
                  <wp:effectExtent l="19050" t="19050" r="2413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54AEE.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AB7C04" w:rsidRDefault="00D5423D" w:rsidP="004338F2">
            <w:pPr>
              <w:jc w:val="center"/>
              <w:rPr>
                <w:b/>
                <w:sz w:val="24"/>
              </w:rPr>
            </w:pPr>
            <w:r>
              <w:rPr>
                <w:b/>
                <w:noProof/>
                <w:sz w:val="24"/>
                <w:lang w:eastAsia="en-GB"/>
              </w:rPr>
              <w:drawing>
                <wp:inline distT="0" distB="0" distL="0" distR="0">
                  <wp:extent cx="1520807" cy="2160000"/>
                  <wp:effectExtent l="19050" t="19050" r="2286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544B1.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AB7C04" w:rsidRDefault="000C1FED" w:rsidP="004338F2">
            <w:pPr>
              <w:jc w:val="center"/>
              <w:rPr>
                <w:b/>
                <w:sz w:val="24"/>
              </w:rPr>
            </w:pPr>
            <w:r>
              <w:rPr>
                <w:b/>
                <w:noProof/>
                <w:sz w:val="24"/>
                <w:lang w:eastAsia="en-GB"/>
              </w:rPr>
              <w:drawing>
                <wp:inline distT="0" distB="0" distL="0" distR="0">
                  <wp:extent cx="1514824" cy="2160000"/>
                  <wp:effectExtent l="19050" t="19050" r="28575"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54DC65.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482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AB7C04" w:rsidRDefault="000C1FED" w:rsidP="004338F2">
            <w:pPr>
              <w:jc w:val="center"/>
              <w:rPr>
                <w:b/>
                <w:sz w:val="24"/>
              </w:rPr>
            </w:pPr>
            <w:r>
              <w:rPr>
                <w:b/>
                <w:noProof/>
                <w:sz w:val="24"/>
                <w:lang w:eastAsia="en-GB"/>
              </w:rPr>
              <w:drawing>
                <wp:inline distT="0" distB="0" distL="0" distR="0">
                  <wp:extent cx="1519131" cy="2160000"/>
                  <wp:effectExtent l="19050" t="19050" r="2413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5486DE.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0C1FED" w:rsidP="004338F2">
            <w:pPr>
              <w:jc w:val="center"/>
              <w:rPr>
                <w:b/>
                <w:color w:val="5F497A" w:themeColor="accent4" w:themeShade="BF"/>
                <w:sz w:val="24"/>
              </w:rPr>
            </w:pPr>
            <w:r>
              <w:rPr>
                <w:b/>
                <w:noProof/>
                <w:color w:val="5F497A" w:themeColor="accent4" w:themeShade="BF"/>
                <w:sz w:val="24"/>
                <w:lang w:eastAsia="en-GB"/>
              </w:rPr>
              <w:drawing>
                <wp:inline distT="0" distB="0" distL="0" distR="0">
                  <wp:extent cx="1524396" cy="2160000"/>
                  <wp:effectExtent l="19050" t="19050" r="1905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542496.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4396" cy="2160000"/>
                          </a:xfrm>
                          <a:prstGeom prst="rect">
                            <a:avLst/>
                          </a:prstGeom>
                          <a:ln w="6350">
                            <a:solidFill>
                              <a:schemeClr val="accent4">
                                <a:lumMod val="50000"/>
                              </a:schemeClr>
                            </a:solidFill>
                          </a:ln>
                        </pic:spPr>
                      </pic:pic>
                    </a:graphicData>
                  </a:graphic>
                </wp:inline>
              </w:drawing>
            </w:r>
          </w:p>
        </w:tc>
      </w:tr>
      <w:tr w:rsidR="00D3630D" w:rsidTr="009A68B9">
        <w:trPr>
          <w:trHeight w:hRule="exact" w:val="454"/>
        </w:trPr>
        <w:tc>
          <w:tcPr>
            <w:tcW w:w="2789" w:type="dxa"/>
            <w:tcBorders>
              <w:top w:val="nil"/>
              <w:bottom w:val="single" w:sz="4" w:space="0" w:color="auto"/>
            </w:tcBorders>
            <w:shd w:val="clear" w:color="auto" w:fill="E5DFEC" w:themeFill="accent4" w:themeFillTint="33"/>
            <w:vAlign w:val="center"/>
          </w:tcPr>
          <w:p w:rsidR="00793235" w:rsidRPr="00EA6AA1" w:rsidRDefault="00D5423D" w:rsidP="009A68B9">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793235" w:rsidRPr="00EA6AA1" w:rsidRDefault="00D5423D"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EA6AA1" w:rsidRDefault="000C1FED"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0C1FED"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0C1FED" w:rsidP="009A68B9">
            <w:pPr>
              <w:spacing w:after="120" w:line="276" w:lineRule="auto"/>
              <w:jc w:val="center"/>
            </w:pPr>
            <w:r>
              <w:t>Confidence grid</w:t>
            </w:r>
          </w:p>
        </w:tc>
      </w:tr>
      <w:tr w:rsidR="00D3630D" w:rsidRPr="00D2452D" w:rsidTr="00AB7C04">
        <w:trPr>
          <w:trHeight w:hRule="exact" w:val="340"/>
        </w:trPr>
        <w:tc>
          <w:tcPr>
            <w:tcW w:w="2789" w:type="dxa"/>
            <w:tcBorders>
              <w:bottom w:val="nil"/>
            </w:tcBorders>
            <w:shd w:val="clear" w:color="auto" w:fill="E5DFEC" w:themeFill="accent4" w:themeFillTint="33"/>
            <w:vAlign w:val="center"/>
          </w:tcPr>
          <w:p w:rsidR="00793235" w:rsidRPr="00974D00" w:rsidRDefault="00AB7C04" w:rsidP="009A68B9">
            <w:pPr>
              <w:spacing w:line="276" w:lineRule="auto"/>
              <w:jc w:val="center"/>
              <w:rPr>
                <w:b/>
                <w:color w:val="FF0000"/>
              </w:rPr>
            </w:pPr>
            <w:r w:rsidRPr="00B26516">
              <w:rPr>
                <w:b/>
              </w:rPr>
              <w:t>Density column</w:t>
            </w:r>
          </w:p>
        </w:tc>
        <w:tc>
          <w:tcPr>
            <w:tcW w:w="2789" w:type="dxa"/>
            <w:tcBorders>
              <w:bottom w:val="nil"/>
            </w:tcBorders>
            <w:shd w:val="clear" w:color="auto" w:fill="B2A1C7" w:themeFill="accent4" w:themeFillTint="99"/>
            <w:vAlign w:val="center"/>
          </w:tcPr>
          <w:p w:rsidR="00793235" w:rsidRPr="00974D00" w:rsidRDefault="00AB7C04" w:rsidP="009A68B9">
            <w:pPr>
              <w:jc w:val="center"/>
              <w:rPr>
                <w:rFonts w:cstheme="minorHAnsi"/>
                <w:b/>
                <w:color w:val="FF0000"/>
              </w:rPr>
            </w:pPr>
            <w:r w:rsidRPr="005004D9">
              <w:rPr>
                <w:rFonts w:cstheme="minorHAnsi"/>
                <w:b/>
              </w:rPr>
              <w:t>Submarines</w:t>
            </w:r>
          </w:p>
        </w:tc>
        <w:tc>
          <w:tcPr>
            <w:tcW w:w="2790" w:type="dxa"/>
            <w:tcBorders>
              <w:bottom w:val="nil"/>
            </w:tcBorders>
            <w:shd w:val="clear" w:color="auto" w:fill="B2A1C7" w:themeFill="accent4" w:themeFillTint="99"/>
            <w:vAlign w:val="center"/>
          </w:tcPr>
          <w:p w:rsidR="00793235" w:rsidRPr="00974D00" w:rsidRDefault="00AB7C04" w:rsidP="009A68B9">
            <w:pPr>
              <w:jc w:val="center"/>
              <w:rPr>
                <w:rFonts w:cstheme="minorHAnsi"/>
                <w:b/>
                <w:color w:val="FF0000"/>
              </w:rPr>
            </w:pPr>
            <w:r w:rsidRPr="004B532F">
              <w:rPr>
                <w:rFonts w:cstheme="minorHAnsi"/>
                <w:b/>
              </w:rPr>
              <w:t>Block work</w:t>
            </w:r>
          </w:p>
        </w:tc>
        <w:tc>
          <w:tcPr>
            <w:tcW w:w="2790" w:type="dxa"/>
            <w:tcBorders>
              <w:bottom w:val="nil"/>
            </w:tcBorders>
            <w:shd w:val="clear" w:color="auto" w:fill="B2A1C7" w:themeFill="accent4" w:themeFillTint="99"/>
            <w:vAlign w:val="center"/>
          </w:tcPr>
          <w:p w:rsidR="00793235" w:rsidRPr="00974D00" w:rsidRDefault="00AB7C04" w:rsidP="009A68B9">
            <w:pPr>
              <w:jc w:val="center"/>
              <w:rPr>
                <w:rFonts w:cstheme="minorHAnsi"/>
                <w:b/>
                <w:color w:val="FF0000"/>
              </w:rPr>
            </w:pPr>
            <w:r w:rsidRPr="00A0702A">
              <w:rPr>
                <w:rFonts w:cstheme="minorHAnsi"/>
                <w:b/>
              </w:rPr>
              <w:t>Buoyancy</w:t>
            </w:r>
          </w:p>
        </w:tc>
        <w:tc>
          <w:tcPr>
            <w:tcW w:w="2790" w:type="dxa"/>
            <w:tcBorders>
              <w:left w:val="nil"/>
              <w:bottom w:val="nil"/>
              <w:right w:val="single" w:sz="4" w:space="0" w:color="auto"/>
            </w:tcBorders>
            <w:shd w:val="clear" w:color="auto" w:fill="B2A1C7" w:themeFill="accent4" w:themeFillTint="99"/>
            <w:vAlign w:val="center"/>
          </w:tcPr>
          <w:p w:rsidR="00793235" w:rsidRPr="00974D00" w:rsidRDefault="00AB7C04" w:rsidP="009A68B9">
            <w:pPr>
              <w:jc w:val="center"/>
              <w:rPr>
                <w:rFonts w:cstheme="minorHAnsi"/>
                <w:b/>
                <w:color w:val="FF0000"/>
              </w:rPr>
            </w:pPr>
            <w:r w:rsidRPr="00FD02D9">
              <w:rPr>
                <w:rFonts w:cstheme="minorHAnsi"/>
                <w:b/>
              </w:rPr>
              <w:t>Clay boat</w:t>
            </w:r>
          </w:p>
        </w:tc>
      </w:tr>
      <w:tr w:rsidR="00793235" w:rsidTr="009A68B9">
        <w:trPr>
          <w:trHeight w:hRule="exact" w:val="3515"/>
        </w:trPr>
        <w:tc>
          <w:tcPr>
            <w:tcW w:w="2789" w:type="dxa"/>
            <w:tcBorders>
              <w:top w:val="nil"/>
              <w:bottom w:val="nil"/>
            </w:tcBorders>
            <w:vAlign w:val="center"/>
          </w:tcPr>
          <w:p w:rsidR="00793235" w:rsidRPr="00FC1013" w:rsidRDefault="000C1FED" w:rsidP="004338F2">
            <w:pPr>
              <w:jc w:val="center"/>
            </w:pPr>
            <w:r>
              <w:rPr>
                <w:noProof/>
                <w:lang w:eastAsia="en-GB"/>
              </w:rPr>
              <w:drawing>
                <wp:inline distT="0" distB="0" distL="0" distR="0">
                  <wp:extent cx="1523200" cy="2160000"/>
                  <wp:effectExtent l="19050" t="19050" r="2032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54C210.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3200"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FC1013" w:rsidRDefault="00D3630D" w:rsidP="004338F2">
            <w:pPr>
              <w:jc w:val="center"/>
            </w:pPr>
            <w:r>
              <w:rPr>
                <w:noProof/>
                <w:lang w:eastAsia="en-GB"/>
              </w:rPr>
              <w:drawing>
                <wp:inline distT="0" distB="0" distL="0" distR="0">
                  <wp:extent cx="1525832" cy="2160000"/>
                  <wp:effectExtent l="19050" t="19050" r="1778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4544A9D.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D3630D" w:rsidP="004338F2">
            <w:pPr>
              <w:jc w:val="center"/>
            </w:pPr>
            <w:r>
              <w:rPr>
                <w:noProof/>
                <w:lang w:eastAsia="en-GB"/>
              </w:rPr>
              <w:drawing>
                <wp:inline distT="0" distB="0" distL="0" distR="0">
                  <wp:extent cx="1530140" cy="2160000"/>
                  <wp:effectExtent l="19050" t="19050" r="1333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454532D.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3014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D3630D" w:rsidP="004338F2">
            <w:pPr>
              <w:jc w:val="center"/>
            </w:pPr>
            <w:r>
              <w:rPr>
                <w:noProof/>
                <w:lang w:eastAsia="en-GB"/>
              </w:rPr>
              <w:drawing>
                <wp:inline distT="0" distB="0" distL="0" distR="0">
                  <wp:extent cx="1527507" cy="2160000"/>
                  <wp:effectExtent l="19050" t="19050" r="15875"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4549386.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rsidR="00793235" w:rsidRPr="00FC1013" w:rsidRDefault="00C87388" w:rsidP="004338F2">
            <w:pPr>
              <w:jc w:val="center"/>
            </w:pPr>
            <w:r>
              <w:rPr>
                <w:noProof/>
                <w:lang w:eastAsia="en-GB"/>
              </w:rPr>
              <w:drawing>
                <wp:anchor distT="0" distB="0" distL="114300" distR="114300" simplePos="0" relativeHeight="251718656" behindDoc="0" locked="0" layoutInCell="1" allowOverlap="1">
                  <wp:simplePos x="0" y="0"/>
                  <wp:positionH relativeFrom="column">
                    <wp:posOffset>116840</wp:posOffset>
                  </wp:positionH>
                  <wp:positionV relativeFrom="paragraph">
                    <wp:posOffset>8890</wp:posOffset>
                  </wp:positionV>
                  <wp:extent cx="1520190" cy="2159635"/>
                  <wp:effectExtent l="19050" t="19050" r="22860"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544E7D.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019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19680" behindDoc="0" locked="0" layoutInCell="1" allowOverlap="1">
                  <wp:simplePos x="0" y="0"/>
                  <wp:positionH relativeFrom="column">
                    <wp:posOffset>3810</wp:posOffset>
                  </wp:positionH>
                  <wp:positionV relativeFrom="paragraph">
                    <wp:posOffset>27305</wp:posOffset>
                  </wp:positionV>
                  <wp:extent cx="1516380" cy="2159635"/>
                  <wp:effectExtent l="19050" t="19050" r="26670" b="1206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454EE0A.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638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r>
      <w:tr w:rsidR="00D3630D" w:rsidTr="00AB7C04">
        <w:trPr>
          <w:trHeight w:hRule="exact" w:val="454"/>
        </w:trPr>
        <w:tc>
          <w:tcPr>
            <w:tcW w:w="2789" w:type="dxa"/>
            <w:tcBorders>
              <w:top w:val="nil"/>
            </w:tcBorders>
            <w:shd w:val="clear" w:color="auto" w:fill="E5DFEC" w:themeFill="accent4" w:themeFillTint="33"/>
            <w:vAlign w:val="center"/>
          </w:tcPr>
          <w:p w:rsidR="00793235" w:rsidRPr="00FC1013" w:rsidRDefault="000C1FED" w:rsidP="009A68B9">
            <w:pPr>
              <w:spacing w:after="120" w:line="276" w:lineRule="auto"/>
              <w:jc w:val="center"/>
            </w:pPr>
            <w:r>
              <w:t>Confidence grid</w:t>
            </w:r>
          </w:p>
        </w:tc>
        <w:tc>
          <w:tcPr>
            <w:tcW w:w="2789" w:type="dxa"/>
            <w:tcBorders>
              <w:top w:val="nil"/>
            </w:tcBorders>
            <w:shd w:val="clear" w:color="auto" w:fill="B2A1C7" w:themeFill="accent4" w:themeFillTint="99"/>
            <w:vAlign w:val="center"/>
          </w:tcPr>
          <w:p w:rsidR="00793235" w:rsidRPr="00D3630D" w:rsidRDefault="00D3630D" w:rsidP="009A68B9">
            <w:pPr>
              <w:spacing w:after="120" w:line="276" w:lineRule="auto"/>
              <w:jc w:val="center"/>
              <w:rPr>
                <w:sz w:val="18"/>
              </w:rPr>
            </w:pPr>
            <w:r>
              <w:rPr>
                <w:sz w:val="18"/>
              </w:rPr>
              <w:t>Application and practice - problem</w:t>
            </w:r>
          </w:p>
        </w:tc>
        <w:tc>
          <w:tcPr>
            <w:tcW w:w="2790" w:type="dxa"/>
            <w:tcBorders>
              <w:top w:val="nil"/>
            </w:tcBorders>
            <w:shd w:val="clear" w:color="auto" w:fill="B2A1C7" w:themeFill="accent4" w:themeFillTint="99"/>
            <w:vAlign w:val="center"/>
          </w:tcPr>
          <w:p w:rsidR="00793235" w:rsidRPr="00FC1013" w:rsidRDefault="00D3630D" w:rsidP="009A68B9">
            <w:pPr>
              <w:spacing w:after="120" w:line="276" w:lineRule="auto"/>
              <w:jc w:val="center"/>
            </w:pPr>
            <w:r>
              <w:t>Clarifying - demonstration</w:t>
            </w:r>
          </w:p>
        </w:tc>
        <w:tc>
          <w:tcPr>
            <w:tcW w:w="2790" w:type="dxa"/>
            <w:tcBorders>
              <w:top w:val="nil"/>
            </w:tcBorders>
            <w:shd w:val="clear" w:color="auto" w:fill="B2A1C7" w:themeFill="accent4" w:themeFillTint="99"/>
            <w:vAlign w:val="center"/>
          </w:tcPr>
          <w:p w:rsidR="00D3630D" w:rsidRDefault="00D3630D" w:rsidP="00D3630D">
            <w:pPr>
              <w:jc w:val="center"/>
              <w:rPr>
                <w:sz w:val="18"/>
              </w:rPr>
            </w:pPr>
            <w:r>
              <w:rPr>
                <w:sz w:val="18"/>
              </w:rPr>
              <w:t>Predict, explain; observe, explain</w:t>
            </w:r>
          </w:p>
          <w:p w:rsidR="00793235" w:rsidRPr="00FC1013" w:rsidRDefault="00D3630D" w:rsidP="00D3630D">
            <w:pPr>
              <w:spacing w:after="120" w:line="276" w:lineRule="auto"/>
              <w:jc w:val="center"/>
            </w:pPr>
            <w:r>
              <w:rPr>
                <w:sz w:val="18"/>
              </w:rPr>
              <w:t>PEOE</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793235" w:rsidRPr="00FC1013" w:rsidRDefault="00C87388" w:rsidP="009A68B9">
            <w:pPr>
              <w:spacing w:after="120" w:line="276" w:lineRule="auto"/>
              <w:jc w:val="center"/>
            </w:pPr>
            <w:r w:rsidRPr="00C87388">
              <w:rPr>
                <w:sz w:val="18"/>
              </w:rPr>
              <w:t>Application and practice - practical</w:t>
            </w: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bookmarkStart w:id="0" w:name="_GoBack"/>
      <w:bookmarkEnd w:id="0"/>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AB7C04" w:rsidRPr="00D2452D" w:rsidTr="00AB7C04">
        <w:trPr>
          <w:trHeight w:hRule="exact" w:val="340"/>
        </w:trPr>
        <w:tc>
          <w:tcPr>
            <w:tcW w:w="2789" w:type="dxa"/>
            <w:tcBorders>
              <w:top w:val="single" w:sz="4" w:space="0" w:color="auto"/>
              <w:left w:val="single" w:sz="4" w:space="0" w:color="auto"/>
              <w:bottom w:val="nil"/>
              <w:right w:val="single" w:sz="4" w:space="0" w:color="auto"/>
            </w:tcBorders>
            <w:shd w:val="clear" w:color="auto" w:fill="B2A1C7" w:themeFill="accent4" w:themeFillTint="99"/>
            <w:vAlign w:val="center"/>
          </w:tcPr>
          <w:p w:rsidR="00AB7C04" w:rsidRPr="00974D00" w:rsidRDefault="00AB7C04" w:rsidP="004A0364">
            <w:pPr>
              <w:jc w:val="center"/>
              <w:rPr>
                <w:rFonts w:cstheme="minorHAnsi"/>
                <w:b/>
                <w:color w:val="FF0000"/>
              </w:rPr>
            </w:pPr>
            <w:r w:rsidRPr="00B26516">
              <w:rPr>
                <w:rFonts w:cstheme="minorHAnsi"/>
                <w:b/>
              </w:rPr>
              <w:lastRenderedPageBreak/>
              <w:t>Grape expectations</w:t>
            </w:r>
          </w:p>
        </w:tc>
        <w:tc>
          <w:tcPr>
            <w:tcW w:w="2789" w:type="dxa"/>
            <w:tcBorders>
              <w:top w:val="nil"/>
              <w:left w:val="single" w:sz="4" w:space="0" w:color="auto"/>
              <w:bottom w:val="nil"/>
              <w:right w:val="nil"/>
            </w:tcBorders>
            <w:shd w:val="clear" w:color="auto" w:fill="auto"/>
            <w:vAlign w:val="center"/>
          </w:tcPr>
          <w:p w:rsidR="00AB7C04" w:rsidRPr="00AB7C04" w:rsidRDefault="00AB7C04" w:rsidP="004A0364">
            <w:pPr>
              <w:jc w:val="center"/>
              <w:rPr>
                <w:rFonts w:cstheme="minorHAnsi"/>
                <w:b/>
              </w:rPr>
            </w:pPr>
          </w:p>
        </w:tc>
        <w:tc>
          <w:tcPr>
            <w:tcW w:w="2790" w:type="dxa"/>
            <w:tcBorders>
              <w:top w:val="nil"/>
              <w:left w:val="nil"/>
              <w:bottom w:val="nil"/>
              <w:right w:val="nil"/>
            </w:tcBorders>
            <w:shd w:val="clear" w:color="auto" w:fill="auto"/>
            <w:vAlign w:val="center"/>
          </w:tcPr>
          <w:p w:rsidR="00AB7C04" w:rsidRPr="00AB7C04" w:rsidRDefault="00AB7C04" w:rsidP="004A0364">
            <w:pPr>
              <w:jc w:val="center"/>
              <w:rPr>
                <w:rFonts w:cstheme="minorHAnsi"/>
                <w:b/>
              </w:rPr>
            </w:pPr>
          </w:p>
        </w:tc>
        <w:tc>
          <w:tcPr>
            <w:tcW w:w="2790" w:type="dxa"/>
            <w:tcBorders>
              <w:top w:val="nil"/>
              <w:left w:val="nil"/>
              <w:bottom w:val="nil"/>
              <w:right w:val="nil"/>
            </w:tcBorders>
            <w:shd w:val="clear" w:color="auto" w:fill="auto"/>
            <w:vAlign w:val="center"/>
          </w:tcPr>
          <w:p w:rsidR="00AB7C04" w:rsidRPr="00AB7C04" w:rsidRDefault="00AB7C04" w:rsidP="004A0364">
            <w:pPr>
              <w:jc w:val="center"/>
              <w:rPr>
                <w:rFonts w:cstheme="minorHAnsi"/>
                <w:b/>
              </w:rPr>
            </w:pPr>
          </w:p>
        </w:tc>
        <w:tc>
          <w:tcPr>
            <w:tcW w:w="2790" w:type="dxa"/>
            <w:tcBorders>
              <w:top w:val="nil"/>
              <w:left w:val="nil"/>
              <w:bottom w:val="nil"/>
              <w:right w:val="nil"/>
            </w:tcBorders>
            <w:shd w:val="clear" w:color="auto" w:fill="auto"/>
            <w:vAlign w:val="center"/>
          </w:tcPr>
          <w:p w:rsidR="00AB7C04" w:rsidRPr="00AC1978" w:rsidRDefault="00AB7C04" w:rsidP="004A0364">
            <w:pPr>
              <w:jc w:val="center"/>
              <w:rPr>
                <w:rFonts w:cstheme="minorHAnsi"/>
                <w:b/>
              </w:rPr>
            </w:pPr>
          </w:p>
        </w:tc>
      </w:tr>
      <w:tr w:rsidR="00AB7C04" w:rsidTr="00AB7C04">
        <w:trPr>
          <w:trHeight w:hRule="exact" w:val="3515"/>
        </w:trPr>
        <w:tc>
          <w:tcPr>
            <w:tcW w:w="2789" w:type="dxa"/>
            <w:tcBorders>
              <w:top w:val="nil"/>
              <w:bottom w:val="nil"/>
            </w:tcBorders>
            <w:vAlign w:val="center"/>
          </w:tcPr>
          <w:p w:rsidR="00AB7C04" w:rsidRPr="00AB7C04" w:rsidRDefault="00D3630D" w:rsidP="004338F2">
            <w:pPr>
              <w:jc w:val="center"/>
              <w:rPr>
                <w:b/>
                <w:sz w:val="24"/>
              </w:rPr>
            </w:pPr>
            <w:r>
              <w:rPr>
                <w:b/>
                <w:noProof/>
                <w:sz w:val="24"/>
                <w:lang w:eastAsia="en-GB"/>
              </w:rPr>
              <w:drawing>
                <wp:inline distT="0" distB="0" distL="0" distR="0">
                  <wp:extent cx="1527507" cy="2160000"/>
                  <wp:effectExtent l="19050" t="19050" r="1587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54D8C.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89" w:type="dxa"/>
            <w:tcBorders>
              <w:top w:val="nil"/>
              <w:bottom w:val="nil"/>
              <w:right w:val="nil"/>
            </w:tcBorders>
            <w:shd w:val="clear" w:color="auto" w:fill="auto"/>
            <w:vAlign w:val="center"/>
          </w:tcPr>
          <w:p w:rsidR="00AB7C04" w:rsidRPr="00AB7C04" w:rsidRDefault="00AB7C04" w:rsidP="004A0364">
            <w:pPr>
              <w:rPr>
                <w:b/>
                <w:sz w:val="24"/>
              </w:rPr>
            </w:pPr>
          </w:p>
        </w:tc>
        <w:tc>
          <w:tcPr>
            <w:tcW w:w="2790" w:type="dxa"/>
            <w:tcBorders>
              <w:top w:val="nil"/>
              <w:left w:val="nil"/>
              <w:bottom w:val="nil"/>
              <w:right w:val="nil"/>
            </w:tcBorders>
            <w:shd w:val="clear" w:color="auto" w:fill="auto"/>
            <w:vAlign w:val="center"/>
          </w:tcPr>
          <w:p w:rsidR="00AB7C04" w:rsidRPr="00AB7C04" w:rsidRDefault="00AB7C04" w:rsidP="004A0364">
            <w:pPr>
              <w:rPr>
                <w:b/>
                <w:sz w:val="24"/>
              </w:rPr>
            </w:pPr>
          </w:p>
        </w:tc>
        <w:tc>
          <w:tcPr>
            <w:tcW w:w="2790" w:type="dxa"/>
            <w:tcBorders>
              <w:top w:val="nil"/>
              <w:left w:val="nil"/>
              <w:bottom w:val="nil"/>
              <w:right w:val="nil"/>
            </w:tcBorders>
            <w:shd w:val="clear" w:color="auto" w:fill="auto"/>
            <w:vAlign w:val="center"/>
          </w:tcPr>
          <w:p w:rsidR="00AB7C04" w:rsidRPr="00AB7C04" w:rsidRDefault="00AB7C04" w:rsidP="004A0364">
            <w:pPr>
              <w:rPr>
                <w:b/>
                <w:sz w:val="24"/>
              </w:rPr>
            </w:pPr>
          </w:p>
        </w:tc>
        <w:tc>
          <w:tcPr>
            <w:tcW w:w="2790" w:type="dxa"/>
            <w:tcBorders>
              <w:top w:val="nil"/>
              <w:left w:val="nil"/>
              <w:bottom w:val="nil"/>
              <w:right w:val="nil"/>
            </w:tcBorders>
            <w:shd w:val="clear" w:color="auto" w:fill="auto"/>
            <w:vAlign w:val="center"/>
          </w:tcPr>
          <w:p w:rsidR="00AB7C04" w:rsidRDefault="00AB7C04" w:rsidP="004A0364">
            <w:pPr>
              <w:rPr>
                <w:b/>
                <w:color w:val="5F497A" w:themeColor="accent4" w:themeShade="BF"/>
                <w:sz w:val="24"/>
              </w:rPr>
            </w:pPr>
          </w:p>
        </w:tc>
      </w:tr>
      <w:tr w:rsidR="00AB7C04" w:rsidTr="00AB7C04">
        <w:trPr>
          <w:trHeight w:hRule="exact" w:val="454"/>
        </w:trPr>
        <w:tc>
          <w:tcPr>
            <w:tcW w:w="2789" w:type="dxa"/>
            <w:tcBorders>
              <w:top w:val="nil"/>
              <w:bottom w:val="single" w:sz="4" w:space="0" w:color="auto"/>
            </w:tcBorders>
            <w:shd w:val="clear" w:color="auto" w:fill="B2A1C7" w:themeFill="accent4" w:themeFillTint="99"/>
            <w:vAlign w:val="center"/>
          </w:tcPr>
          <w:p w:rsidR="00AB7C04" w:rsidRDefault="00D3630D" w:rsidP="00D3630D">
            <w:pPr>
              <w:jc w:val="center"/>
              <w:rPr>
                <w:sz w:val="18"/>
              </w:rPr>
            </w:pPr>
            <w:r>
              <w:rPr>
                <w:sz w:val="18"/>
              </w:rPr>
              <w:t>Predict, explain; observe, explain</w:t>
            </w:r>
          </w:p>
          <w:p w:rsidR="00D3630D" w:rsidRPr="00D3630D" w:rsidRDefault="00D3630D" w:rsidP="00D3630D">
            <w:pPr>
              <w:jc w:val="center"/>
              <w:rPr>
                <w:sz w:val="18"/>
              </w:rPr>
            </w:pPr>
            <w:r>
              <w:rPr>
                <w:sz w:val="18"/>
              </w:rPr>
              <w:t>PEOE</w:t>
            </w:r>
          </w:p>
        </w:tc>
        <w:tc>
          <w:tcPr>
            <w:tcW w:w="2789" w:type="dxa"/>
            <w:tcBorders>
              <w:top w:val="nil"/>
              <w:bottom w:val="nil"/>
              <w:right w:val="nil"/>
            </w:tcBorders>
            <w:shd w:val="clear" w:color="auto" w:fill="auto"/>
            <w:vAlign w:val="center"/>
          </w:tcPr>
          <w:p w:rsidR="00AB7C04" w:rsidRPr="00EA6AA1" w:rsidRDefault="00AB7C04" w:rsidP="004A0364">
            <w:pPr>
              <w:spacing w:after="120" w:line="276" w:lineRule="auto"/>
              <w:jc w:val="center"/>
            </w:pPr>
          </w:p>
        </w:tc>
        <w:tc>
          <w:tcPr>
            <w:tcW w:w="2790" w:type="dxa"/>
            <w:tcBorders>
              <w:top w:val="nil"/>
              <w:left w:val="nil"/>
              <w:bottom w:val="nil"/>
              <w:right w:val="nil"/>
            </w:tcBorders>
            <w:shd w:val="clear" w:color="auto" w:fill="auto"/>
            <w:vAlign w:val="center"/>
          </w:tcPr>
          <w:p w:rsidR="00AB7C04" w:rsidRPr="00EA6AA1" w:rsidRDefault="00AB7C04" w:rsidP="004A0364">
            <w:pPr>
              <w:spacing w:after="120" w:line="276" w:lineRule="auto"/>
              <w:jc w:val="center"/>
            </w:pPr>
          </w:p>
        </w:tc>
        <w:tc>
          <w:tcPr>
            <w:tcW w:w="2790" w:type="dxa"/>
            <w:tcBorders>
              <w:top w:val="nil"/>
              <w:left w:val="nil"/>
              <w:bottom w:val="nil"/>
              <w:right w:val="nil"/>
            </w:tcBorders>
            <w:shd w:val="clear" w:color="auto" w:fill="auto"/>
            <w:vAlign w:val="center"/>
          </w:tcPr>
          <w:p w:rsidR="00AB7C04" w:rsidRPr="00EA6AA1" w:rsidRDefault="00AB7C04" w:rsidP="004A0364">
            <w:pPr>
              <w:spacing w:after="120" w:line="276" w:lineRule="auto"/>
              <w:jc w:val="center"/>
            </w:pPr>
          </w:p>
        </w:tc>
        <w:tc>
          <w:tcPr>
            <w:tcW w:w="2790" w:type="dxa"/>
            <w:tcBorders>
              <w:top w:val="nil"/>
              <w:left w:val="nil"/>
              <w:bottom w:val="nil"/>
              <w:right w:val="nil"/>
            </w:tcBorders>
            <w:shd w:val="clear" w:color="auto" w:fill="auto"/>
            <w:vAlign w:val="center"/>
          </w:tcPr>
          <w:p w:rsidR="00AB7C04" w:rsidRPr="00EA6AA1" w:rsidRDefault="00AB7C04" w:rsidP="004A0364">
            <w:pPr>
              <w:spacing w:after="120" w:line="276" w:lineRule="auto"/>
              <w:jc w:val="center"/>
            </w:pPr>
          </w:p>
        </w:tc>
      </w:tr>
      <w:tr w:rsidR="00D3630D" w:rsidRPr="00D2452D" w:rsidTr="00AB7C04">
        <w:trPr>
          <w:trHeight w:hRule="exact" w:val="340"/>
        </w:trPr>
        <w:tc>
          <w:tcPr>
            <w:tcW w:w="2789" w:type="dxa"/>
            <w:tcBorders>
              <w:left w:val="nil"/>
              <w:bottom w:val="nil"/>
              <w:right w:val="nil"/>
            </w:tcBorders>
            <w:shd w:val="clear" w:color="auto" w:fill="FFFFFF" w:themeFill="background1"/>
            <w:vAlign w:val="center"/>
          </w:tcPr>
          <w:p w:rsidR="00AB7C04" w:rsidRPr="00AC1978" w:rsidRDefault="00AB7C04" w:rsidP="00D3630D">
            <w:pPr>
              <w:jc w:val="center"/>
              <w:rPr>
                <w:b/>
              </w:rPr>
            </w:pPr>
          </w:p>
        </w:tc>
        <w:tc>
          <w:tcPr>
            <w:tcW w:w="2789" w:type="dxa"/>
            <w:tcBorders>
              <w:top w:val="nil"/>
              <w:left w:val="nil"/>
              <w:bottom w:val="nil"/>
              <w:right w:val="nil"/>
            </w:tcBorders>
            <w:shd w:val="clear" w:color="auto" w:fill="auto"/>
            <w:vAlign w:val="center"/>
          </w:tcPr>
          <w:p w:rsidR="00AB7C04" w:rsidRPr="00AC1978" w:rsidRDefault="00AB7C04" w:rsidP="004A0364">
            <w:pPr>
              <w:jc w:val="center"/>
              <w:rPr>
                <w:rFonts w:cstheme="minorHAnsi"/>
                <w:b/>
              </w:rPr>
            </w:pPr>
          </w:p>
        </w:tc>
        <w:tc>
          <w:tcPr>
            <w:tcW w:w="2790" w:type="dxa"/>
            <w:tcBorders>
              <w:top w:val="nil"/>
              <w:left w:val="nil"/>
              <w:bottom w:val="nil"/>
              <w:right w:val="nil"/>
            </w:tcBorders>
            <w:shd w:val="clear" w:color="auto" w:fill="auto"/>
            <w:vAlign w:val="center"/>
          </w:tcPr>
          <w:p w:rsidR="00AB7C04" w:rsidRPr="00D2452D" w:rsidRDefault="00AB7C04" w:rsidP="004A0364">
            <w:pPr>
              <w:jc w:val="center"/>
              <w:rPr>
                <w:rFonts w:cstheme="minorHAnsi"/>
                <w:b/>
              </w:rPr>
            </w:pPr>
          </w:p>
        </w:tc>
        <w:tc>
          <w:tcPr>
            <w:tcW w:w="2790" w:type="dxa"/>
            <w:tcBorders>
              <w:top w:val="nil"/>
              <w:left w:val="nil"/>
              <w:bottom w:val="nil"/>
              <w:right w:val="nil"/>
            </w:tcBorders>
            <w:shd w:val="clear" w:color="auto" w:fill="auto"/>
            <w:vAlign w:val="center"/>
          </w:tcPr>
          <w:p w:rsidR="00AB7C04" w:rsidRPr="00D2452D" w:rsidRDefault="00AB7C04" w:rsidP="004A0364">
            <w:pPr>
              <w:jc w:val="center"/>
              <w:rPr>
                <w:rFonts w:cstheme="minorHAnsi"/>
                <w:b/>
              </w:rPr>
            </w:pPr>
          </w:p>
        </w:tc>
        <w:tc>
          <w:tcPr>
            <w:tcW w:w="2790" w:type="dxa"/>
            <w:tcBorders>
              <w:top w:val="nil"/>
              <w:left w:val="nil"/>
              <w:bottom w:val="nil"/>
              <w:right w:val="nil"/>
            </w:tcBorders>
            <w:shd w:val="clear" w:color="auto" w:fill="auto"/>
            <w:vAlign w:val="center"/>
          </w:tcPr>
          <w:p w:rsidR="00AB7C04" w:rsidRPr="00D2452D" w:rsidRDefault="00AB7C04" w:rsidP="004A0364">
            <w:pPr>
              <w:jc w:val="center"/>
              <w:rPr>
                <w:rFonts w:cstheme="minorHAnsi"/>
                <w:b/>
              </w:rPr>
            </w:pPr>
          </w:p>
        </w:tc>
      </w:tr>
      <w:tr w:rsidR="00AB7C04" w:rsidTr="00AB7C04">
        <w:trPr>
          <w:trHeight w:hRule="exact" w:val="3515"/>
        </w:trPr>
        <w:tc>
          <w:tcPr>
            <w:tcW w:w="2789" w:type="dxa"/>
            <w:tcBorders>
              <w:top w:val="nil"/>
              <w:left w:val="nil"/>
              <w:bottom w:val="nil"/>
              <w:right w:val="nil"/>
            </w:tcBorders>
            <w:shd w:val="clear" w:color="auto" w:fill="FFFFFF" w:themeFill="background1"/>
            <w:vAlign w:val="center"/>
          </w:tcPr>
          <w:p w:rsidR="00AB7C04" w:rsidRPr="00FC1013" w:rsidRDefault="00AB7C04" w:rsidP="004A0364"/>
        </w:tc>
        <w:tc>
          <w:tcPr>
            <w:tcW w:w="2789" w:type="dxa"/>
            <w:tcBorders>
              <w:top w:val="nil"/>
              <w:left w:val="nil"/>
              <w:bottom w:val="nil"/>
              <w:right w:val="nil"/>
            </w:tcBorders>
            <w:shd w:val="clear" w:color="auto" w:fill="auto"/>
            <w:vAlign w:val="center"/>
          </w:tcPr>
          <w:p w:rsidR="00AB7C04" w:rsidRPr="00FC1013" w:rsidRDefault="00AB7C04" w:rsidP="004A0364"/>
        </w:tc>
        <w:tc>
          <w:tcPr>
            <w:tcW w:w="2790" w:type="dxa"/>
            <w:tcBorders>
              <w:top w:val="nil"/>
              <w:left w:val="nil"/>
              <w:bottom w:val="nil"/>
              <w:right w:val="nil"/>
            </w:tcBorders>
            <w:shd w:val="clear" w:color="auto" w:fill="auto"/>
            <w:vAlign w:val="center"/>
          </w:tcPr>
          <w:p w:rsidR="00AB7C04" w:rsidRPr="00FC1013" w:rsidRDefault="00AB7C04" w:rsidP="004A0364"/>
        </w:tc>
        <w:tc>
          <w:tcPr>
            <w:tcW w:w="2790" w:type="dxa"/>
            <w:tcBorders>
              <w:top w:val="nil"/>
              <w:left w:val="nil"/>
              <w:bottom w:val="nil"/>
              <w:right w:val="nil"/>
            </w:tcBorders>
            <w:shd w:val="clear" w:color="auto" w:fill="auto"/>
            <w:vAlign w:val="center"/>
          </w:tcPr>
          <w:p w:rsidR="00AB7C04" w:rsidRPr="00FC1013" w:rsidRDefault="00AB7C04" w:rsidP="004A0364"/>
        </w:tc>
        <w:tc>
          <w:tcPr>
            <w:tcW w:w="2790" w:type="dxa"/>
            <w:tcBorders>
              <w:top w:val="nil"/>
              <w:left w:val="nil"/>
              <w:bottom w:val="nil"/>
              <w:right w:val="nil"/>
            </w:tcBorders>
            <w:shd w:val="clear" w:color="auto" w:fill="auto"/>
            <w:vAlign w:val="center"/>
          </w:tcPr>
          <w:p w:rsidR="00AB7C04" w:rsidRPr="00FC1013" w:rsidRDefault="00AB7C04" w:rsidP="004A0364"/>
        </w:tc>
      </w:tr>
      <w:tr w:rsidR="00AB7C04" w:rsidTr="00AB7C04">
        <w:trPr>
          <w:trHeight w:hRule="exact" w:val="454"/>
        </w:trPr>
        <w:tc>
          <w:tcPr>
            <w:tcW w:w="2789" w:type="dxa"/>
            <w:tcBorders>
              <w:top w:val="nil"/>
              <w:left w:val="nil"/>
              <w:bottom w:val="nil"/>
              <w:right w:val="nil"/>
            </w:tcBorders>
            <w:shd w:val="clear" w:color="auto" w:fill="FFFFFF" w:themeFill="background1"/>
            <w:vAlign w:val="center"/>
          </w:tcPr>
          <w:p w:rsidR="00AB7C04" w:rsidRPr="00FC1013" w:rsidRDefault="00AB7C04" w:rsidP="004A0364">
            <w:pPr>
              <w:spacing w:after="120" w:line="276" w:lineRule="auto"/>
              <w:jc w:val="center"/>
            </w:pPr>
          </w:p>
        </w:tc>
        <w:tc>
          <w:tcPr>
            <w:tcW w:w="2789" w:type="dxa"/>
            <w:tcBorders>
              <w:top w:val="nil"/>
              <w:left w:val="nil"/>
              <w:bottom w:val="nil"/>
              <w:right w:val="nil"/>
            </w:tcBorders>
            <w:shd w:val="clear" w:color="auto" w:fill="auto"/>
            <w:vAlign w:val="center"/>
          </w:tcPr>
          <w:p w:rsidR="00AB7C04" w:rsidRPr="00FC1013" w:rsidRDefault="00AB7C04" w:rsidP="004A0364">
            <w:pPr>
              <w:spacing w:after="120" w:line="276" w:lineRule="auto"/>
              <w:jc w:val="center"/>
            </w:pPr>
          </w:p>
        </w:tc>
        <w:tc>
          <w:tcPr>
            <w:tcW w:w="2790" w:type="dxa"/>
            <w:tcBorders>
              <w:top w:val="nil"/>
              <w:left w:val="nil"/>
              <w:bottom w:val="nil"/>
              <w:right w:val="nil"/>
            </w:tcBorders>
            <w:shd w:val="clear" w:color="auto" w:fill="auto"/>
            <w:vAlign w:val="center"/>
          </w:tcPr>
          <w:p w:rsidR="00AB7C04" w:rsidRPr="00FC1013" w:rsidRDefault="00AB7C04" w:rsidP="004A0364">
            <w:pPr>
              <w:spacing w:after="120" w:line="276" w:lineRule="auto"/>
              <w:jc w:val="center"/>
            </w:pPr>
          </w:p>
        </w:tc>
        <w:tc>
          <w:tcPr>
            <w:tcW w:w="2790" w:type="dxa"/>
            <w:tcBorders>
              <w:top w:val="nil"/>
              <w:left w:val="nil"/>
              <w:bottom w:val="nil"/>
              <w:right w:val="nil"/>
            </w:tcBorders>
            <w:shd w:val="clear" w:color="auto" w:fill="auto"/>
            <w:vAlign w:val="center"/>
          </w:tcPr>
          <w:p w:rsidR="00AB7C04" w:rsidRPr="00FC1013" w:rsidRDefault="00AB7C04" w:rsidP="004A0364">
            <w:pPr>
              <w:spacing w:after="120" w:line="276" w:lineRule="auto"/>
              <w:jc w:val="center"/>
            </w:pPr>
          </w:p>
        </w:tc>
        <w:tc>
          <w:tcPr>
            <w:tcW w:w="2790" w:type="dxa"/>
            <w:tcBorders>
              <w:top w:val="nil"/>
              <w:left w:val="nil"/>
              <w:bottom w:val="nil"/>
              <w:right w:val="nil"/>
            </w:tcBorders>
            <w:shd w:val="clear" w:color="auto" w:fill="auto"/>
            <w:vAlign w:val="center"/>
          </w:tcPr>
          <w:p w:rsidR="00AB7C04" w:rsidRPr="00FC1013" w:rsidRDefault="00AB7C04" w:rsidP="004A0364">
            <w:pPr>
              <w:spacing w:after="120" w:line="276" w:lineRule="auto"/>
              <w:jc w:val="center"/>
            </w:pPr>
          </w:p>
        </w:tc>
      </w:tr>
    </w:tbl>
    <w:p w:rsidR="00AB7C04" w:rsidRDefault="00AB7C04">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592C7A" w:rsidRDefault="00592C7A" w:rsidP="00592C7A">
      <w:pPr>
        <w:spacing w:after="180"/>
      </w:pPr>
      <w:r>
        <w:t>The density of a substance is a measure of how heavy it is for its size. The density of a substance is defined as: mass of a sample divided by its volume. Density is a characteristic property of a substance.</w:t>
      </w:r>
    </w:p>
    <w:p w:rsidR="00592C7A" w:rsidRDefault="00592C7A" w:rsidP="00592C7A">
      <w:pPr>
        <w:spacing w:after="180"/>
      </w:pPr>
      <w:r>
        <w:t xml:space="preserve">A compact solid object (i.e. one that is not boat-shaped or hollow) floats in a liquid if its density is lower than that of the liquid. </w:t>
      </w:r>
    </w:p>
    <w:p w:rsidR="00592C7A" w:rsidRDefault="00592C7A" w:rsidP="00592C7A">
      <w:pPr>
        <w:spacing w:after="180"/>
      </w:pPr>
      <w:r>
        <w:t>If an object is wholly or partly immersed in a fluid, its apparent weight (as measured by a spring balance) is less than in air. The fluid exerts an upthrust on the object, so the net downward force acting on it is smaller (zero, if it floats). The upthrust is equal to the weight of fluid that the object displaces. An object made of a material less dense than the liquid displaces its own weight of liquid when only partly immersed. So it floats. An object made of a material that is more dense than the liquid will float if its shape means that it will displace its own weight of liquid before it becomes completely immersed (e.g. if it is cup- or boat-shaped, or hollow).</w:t>
      </w:r>
    </w:p>
    <w:p w:rsidR="007A15C7" w:rsidRDefault="007A15C7" w:rsidP="00592C7A">
      <w:pPr>
        <w:spacing w:after="180"/>
      </w:pPr>
      <w:r>
        <w:t>Most solids and liquids (and all gases) expand continuously as their temperature is raised. The behaviour of water is anomalous; when a block of ice melts, the volume of the liquid water is less than the volume of the ice. The water continues to contract as its temperature rises from 0</w:t>
      </w:r>
      <w:r w:rsidRPr="00960CF6">
        <w:rPr>
          <w:vertAlign w:val="superscript"/>
        </w:rPr>
        <w:t>o</w:t>
      </w:r>
      <w:r>
        <w:t>C to 4</w:t>
      </w:r>
      <w:r w:rsidRPr="00960CF6">
        <w:rPr>
          <w:vertAlign w:val="superscript"/>
        </w:rPr>
        <w:t>o</w:t>
      </w:r>
      <w:r>
        <w:t>C, and then begins to expand steadily.</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AE1A4E" w:rsidRDefault="00AE1A4E" w:rsidP="00AE1A4E">
      <w:pPr>
        <w:spacing w:after="180"/>
      </w:pPr>
      <w:r>
        <w:t xml:space="preserve">It is not always obvious to students whether or not an object is floating in a liquid. A survey of 7-14 year olds by Biddulph and Osborne </w:t>
      </w:r>
      <w:r>
        <w:fldChar w:fldCharType="begin"/>
      </w:r>
      <w:r>
        <w:instrText xml:space="preserve"> ADDIN EN.CITE &lt;EndNote&gt;&lt;Cite ExcludeAuth="1"&gt;&lt;Author&gt;Biddulph&lt;/Author&gt;&lt;Year&gt;1984&lt;/Year&gt;&lt;IDText&gt;Pupils&amp;apos; ideas about floating and sinking&lt;/IDText&gt;&lt;DisplayText&gt;(1984)&lt;/DisplayText&gt;&lt;record&gt;&lt;titles&gt;&lt;title&gt;Pupils&amp;apos; ideas about floating and sinking&lt;/title&gt;&lt;secondary-title&gt;Australian Science Education Research Association Conference&lt;/secondary-title&gt;&lt;/titles&gt;&lt;contributors&gt;&lt;authors&gt;&lt;author&gt;Biddulph, F&lt;/author&gt;&lt;author&gt;Osborne, R&lt;/author&gt;&lt;/authors&gt;&lt;/contributors&gt;&lt;added-date format="utc"&gt;1571661889&lt;/added-date&gt;&lt;pub-location&gt;Melbourne&lt;/pub-location&gt;&lt;ref-type name="Conference Paper"&gt;47&lt;/ref-type&gt;&lt;dates&gt;&lt;year&gt;1984&lt;/year&gt;&lt;/dates&gt;&lt;rec-number&gt;169&lt;/rec-number&gt;&lt;last-updated-date format="utc"&gt;1571662003&lt;/last-updated-date&gt;&lt;/record&gt;&lt;/Cite&gt;&lt;/EndNote&gt;</w:instrText>
      </w:r>
      <w:r>
        <w:fldChar w:fldCharType="separate"/>
      </w:r>
      <w:r>
        <w:rPr>
          <w:noProof/>
        </w:rPr>
        <w:t>(1984)</w:t>
      </w:r>
      <w:r>
        <w:fldChar w:fldCharType="end"/>
      </w:r>
      <w:r>
        <w:t xml:space="preserve"> that is reported by 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t xml:space="preserve"> and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found that most students were only confident that a floating object was floating when a large proportion of </w:t>
      </w:r>
      <w:r w:rsidR="00D64A5E">
        <w:t>the object</w:t>
      </w:r>
      <w:r>
        <w:t xml:space="preserve"> was visible above the surface of a liquid. When only a small proportion of a floating object was visible above the surface, some students described it as both floating </w:t>
      </w:r>
      <w:r w:rsidRPr="006C68D0">
        <w:rPr>
          <w:i/>
        </w:rPr>
        <w:t>and</w:t>
      </w:r>
      <w:r>
        <w:t xml:space="preserve"> sinking. Others suggested the object was starting to sink and </w:t>
      </w:r>
      <w:r w:rsidR="00D64A5E">
        <w:t xml:space="preserve">that it </w:t>
      </w:r>
      <w:r>
        <w:t xml:space="preserve">would slowly go down. Many students did not recognise that objects could float at all if they were completely submerged. Objects such as fish or submarines </w:t>
      </w:r>
      <w:r w:rsidRPr="00E97113">
        <w:rPr>
          <w:i/>
        </w:rPr>
        <w:t>can</w:t>
      </w:r>
      <w:r>
        <w:t xml:space="preserve"> float underwater.</w:t>
      </w:r>
    </w:p>
    <w:p w:rsidR="00AE1A4E" w:rsidRDefault="00AE1A4E" w:rsidP="00AE1A4E">
      <w:pPr>
        <w:spacing w:after="180"/>
      </w:pPr>
      <w:r>
        <w:t xml:space="preserve">In a study of 13-14 year olds (n=120), </w:t>
      </w:r>
      <w:r>
        <w:rPr>
          <w:rFonts w:cstheme="minorHAnsi"/>
        </w:rPr>
        <w:t>Ȕ</w:t>
      </w:r>
      <w:r>
        <w:t>nal and Co</w:t>
      </w:r>
      <w:r>
        <w:rPr>
          <w:rFonts w:cstheme="minorHAnsi"/>
        </w:rPr>
        <w:t>ş</w:t>
      </w:r>
      <w:r>
        <w:t xml:space="preserve">tu </w:t>
      </w:r>
      <w:r>
        <w:fldChar w:fldCharType="begin"/>
      </w:r>
      <w:r>
        <w:instrText xml:space="preserve"> ADDIN EN.CITE &lt;EndNote&gt;&lt;Cite ExcludeAuth="1"&gt;&lt;Author&gt;Unal&lt;/Author&gt;&lt;Year&gt;2005&lt;/Year&gt;&lt;IDText&gt;Problematic issue for students: Does it sink or float?&lt;/IDText&gt;&lt;DisplayText&gt;(2005)&lt;/DisplayText&gt;&lt;record&gt;&lt;titles&gt;&lt;title&gt;Problematic issue for students: Does it sink or float?&lt;/title&gt;&lt;secondary-title&gt;Asia-Pacific Forum on Science Learning and Teaching&lt;/secondary-title&gt;&lt;/titles&gt;&lt;pages&gt;Article 3&lt;/pages&gt;&lt;contributors&gt;&lt;authors&gt;&lt;author&gt;Unal, S&lt;/author&gt;&lt;author&gt;Costu, B&lt;/author&gt;&lt;/authors&gt;&lt;/contributors&gt;&lt;added-date format="utc"&gt;1571657294&lt;/added-date&gt;&lt;ref-type name="Journal Article"&gt;17&lt;/ref-type&gt;&lt;dates&gt;&lt;year&gt;2005&lt;/year&gt;&lt;/dates&gt;&lt;rec-number&gt;164&lt;/rec-number&gt;&lt;last-updated-date format="utc"&gt;1571658513&lt;/last-updated-date&gt;&lt;volume&gt;6(1)&lt;/volume&gt;&lt;/record&gt;&lt;/Cite&gt;&lt;/EndNote&gt;</w:instrText>
      </w:r>
      <w:r>
        <w:fldChar w:fldCharType="separate"/>
      </w:r>
      <w:r>
        <w:rPr>
          <w:noProof/>
        </w:rPr>
        <w:t>(2005)</w:t>
      </w:r>
      <w:r>
        <w:fldChar w:fldCharType="end"/>
      </w:r>
      <w:r>
        <w:t xml:space="preserve"> found that about half of students thought that the main factor influencing whether an object floated or not was its weight or mass. It is quite common for young children to think all light objects float, and all heavy objects sink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In </w:t>
      </w:r>
      <w:r>
        <w:rPr>
          <w:rFonts w:cstheme="minorHAnsi"/>
        </w:rPr>
        <w:t>Ȕ</w:t>
      </w:r>
      <w:r>
        <w:t>nal and Co</w:t>
      </w:r>
      <w:r>
        <w:rPr>
          <w:rFonts w:cstheme="minorHAnsi"/>
        </w:rPr>
        <w:t>ş</w:t>
      </w:r>
      <w:r>
        <w:t xml:space="preserve">tu’s study many students identified the volume of an object as also playing a part in whether or not an object floated, but approximately 40% had difficulties in describing density and in comparing the densities of different objects. A surprising finding was that over half of students thought that increasing the volume of liquid in a container would make objects float more easily. Biddulph and Osborne </w:t>
      </w:r>
      <w:r>
        <w:fldChar w:fldCharType="begin"/>
      </w:r>
      <w:r>
        <w:instrText xml:space="preserve"> ADDIN EN.CITE &lt;EndNote&gt;&lt;Cite ExcludeAuth="1"&gt;&lt;Author&gt;Biddulph&lt;/Author&gt;&lt;Year&gt;1984&lt;/Year&gt;&lt;IDText&gt;Pupils&amp;apos; ideas about floating and sinking&lt;/IDText&gt;&lt;DisplayText&gt;(1984)&lt;/DisplayText&gt;&lt;record&gt;&lt;titles&gt;&lt;title&gt;Pupils&amp;apos; ideas about floating and sinking&lt;/title&gt;&lt;secondary-title&gt;Australian Science Education Research Association Conference&lt;/secondary-title&gt;&lt;/titles&gt;&lt;contributors&gt;&lt;authors&gt;&lt;author&gt;Biddulph, F&lt;/author&gt;&lt;author&gt;Osborne, R&lt;/author&gt;&lt;/authors&gt;&lt;/contributors&gt;&lt;added-date format="utc"&gt;1571661889&lt;/added-date&gt;&lt;pub-location&gt;Melbourne&lt;/pub-location&gt;&lt;ref-type name="Conference Paper"&gt;47&lt;/ref-type&gt;&lt;dates&gt;&lt;year&gt;1984&lt;/year&gt;&lt;/dates&gt;&lt;rec-number&gt;169&lt;/rec-number&gt;&lt;last-updated-date format="utc"&gt;1571662003&lt;/last-updated-date&gt;&lt;/record&gt;&lt;/Cite&gt;&lt;/EndNote&gt;</w:instrText>
      </w:r>
      <w:r>
        <w:fldChar w:fldCharType="separate"/>
      </w:r>
      <w:r>
        <w:rPr>
          <w:noProof/>
        </w:rPr>
        <w:t>(1984)</w:t>
      </w:r>
      <w:r>
        <w:fldChar w:fldCharType="end"/>
      </w:r>
      <w:r>
        <w:t xml:space="preserve"> found that up to 35% of 11- to 12-year-olds held this view.</w:t>
      </w:r>
    </w:p>
    <w:p w:rsidR="00AE1A4E" w:rsidRDefault="00AE1A4E" w:rsidP="00AE1A4E">
      <w:pPr>
        <w:spacing w:after="180"/>
      </w:pPr>
      <w:r>
        <w:rPr>
          <w:noProof/>
        </w:rPr>
        <w:t xml:space="preserve">Paik et al. </w:t>
      </w:r>
      <w:r>
        <w:fldChar w:fldCharType="begin"/>
      </w:r>
      <w: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fldChar w:fldCharType="separate"/>
      </w:r>
      <w:r>
        <w:rPr>
          <w:noProof/>
        </w:rPr>
        <w:t>(2017)</w:t>
      </w:r>
      <w:r>
        <w:fldChar w:fldCharType="end"/>
      </w:r>
      <w:r>
        <w:t xml:space="preserve"> describe a learning progression for buoyancy that begins with the basic concepts of weight and volume, before starting to develop the scientific concepts </w:t>
      </w:r>
      <w:r w:rsidR="007B720F">
        <w:t>of density and buoyancy. In their</w:t>
      </w:r>
      <w:r>
        <w:t xml:space="preserve"> progression, the density of an object is introduced as the object being </w:t>
      </w:r>
      <w:r w:rsidRPr="009E416A">
        <w:rPr>
          <w:i/>
        </w:rPr>
        <w:t>heavy (or light) for its size</w:t>
      </w:r>
      <w:r>
        <w:t xml:space="preserve">. This working definition of density allows students to develop understanding of how volume and weight combine to give an object its buoyancy, and provides </w:t>
      </w:r>
      <w:r>
        <w:lastRenderedPageBreak/>
        <w:t>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AE1472">
        <w:t>,</w:t>
      </w:r>
      <w:r>
        <w:t xml:space="preserve"> on the object. </w:t>
      </w:r>
    </w:p>
    <w:p w:rsidR="00AE1A4E" w:rsidRDefault="00AE1A4E" w:rsidP="00AE1A4E">
      <w:pPr>
        <w:spacing w:after="180"/>
      </w:pPr>
      <w:r>
        <w:rPr>
          <w:noProof/>
        </w:rPr>
        <w:t xml:space="preserve">When an object sinks in a liquid, Cepni and </w:t>
      </w:r>
      <w:r>
        <w:rPr>
          <w:rFonts w:cstheme="minorHAnsi"/>
          <w:noProof/>
        </w:rPr>
        <w:t>Ş</w:t>
      </w:r>
      <w:r>
        <w:rPr>
          <w:noProof/>
        </w:rPr>
        <w:t>ahin</w:t>
      </w:r>
      <w:r>
        <w:t xml:space="preserve"> </w:t>
      </w:r>
      <w:r>
        <w:fldChar w:fldCharType="begin"/>
      </w:r>
      <w:r>
        <w:instrText xml:space="preserve"> ADDIN EN.CITE &lt;EndNote&gt;&lt;Cite ExcludeAuth="1"&gt;&lt;Author&gt;Cepni&lt;/Author&gt;&lt;Year&gt;2012&lt;/Year&gt;&lt;IDText&gt;Effect of different teaching methods and techniques embedded in the 5E instructional model on students&amp;apos; learning about buoyancy force&lt;/IDText&gt;&lt;DisplayText&gt;(2012)&lt;/DisplayText&gt;&lt;record&gt;&lt;titles&gt;&lt;title&gt;Effect of different teaching methods and techniques embedded in the 5E instructional model on students&amp;apos; learning about buoyancy force&lt;/title&gt;&lt;secondary-title&gt;Eurasian Journal of Physics and Chemistry Education&lt;/secondary-title&gt;&lt;/titles&gt;&lt;pages&gt;97-127&lt;/pages&gt;&lt;contributors&gt;&lt;authors&gt;&lt;author&gt;Cepni, S&lt;/author&gt;&lt;author&gt;Sahin, C&lt;/author&gt;&lt;/authors&gt;&lt;/contributors&gt;&lt;added-date format="utc"&gt;1571657963&lt;/added-date&gt;&lt;ref-type name="Journal Article"&gt;17&lt;/ref-type&gt;&lt;dates&gt;&lt;year&gt;2012&lt;/year&gt;&lt;/dates&gt;&lt;rec-number&gt;166&lt;/rec-number&gt;&lt;last-updated-date format="utc"&gt;1571658513&lt;/last-updated-date&gt;&lt;volume&gt;4(2)&lt;/volume&gt;&lt;/record&gt;&lt;/Cite&gt;&lt;/EndNote&gt;</w:instrText>
      </w:r>
      <w:r>
        <w:fldChar w:fldCharType="separate"/>
      </w:r>
      <w:r>
        <w:rPr>
          <w:noProof/>
        </w:rPr>
        <w:t>(2012)</w:t>
      </w:r>
      <w:r>
        <w:fldChar w:fldCharType="end"/>
      </w:r>
      <w:r>
        <w:t xml:space="preserve"> found that most 13- to 14-year-olds (n=48) did not think that the object had buoyancy. In some cases students labelled the buoyancy of a sinking object as downward: they thought that the liquid was pushing it downward. Conversely some students may think that a floating object has no weight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Buoyancy always acts vertically upward; the resultant force is determined by comparing the force of the water pushing the object up, with the force of gravity pulling the object down.</w:t>
      </w:r>
    </w:p>
    <w:p w:rsidR="007147E6" w:rsidRDefault="00AE1A4E" w:rsidP="00AE1A4E">
      <w:pPr>
        <w:spacing w:after="180"/>
      </w:pPr>
      <w:r>
        <w:t xml:space="preserve">It is appropriate to teach students how to calculate buoyancy only after they have developed a good qualitative understanding how it works </w:t>
      </w:r>
      <w:r>
        <w:fldChar w:fldCharType="begin"/>
      </w:r>
      <w:r>
        <w:instrText xml:space="preserve"> ADDIN EN.CITE &lt;EndNote&gt;&lt;Cite&gt;&lt;Author&gt;Gao&lt;/Author&gt;&lt;Year&gt;2018&lt;/Year&gt;&lt;IDText&gt;Developing a Learning Progression of Buoyancy to Model Conceptual Change: A Latent Class and Rule Space Model Analysis&lt;/IDText&gt;&lt;DisplayText&gt;(Gao et al., 2018)&lt;/DisplayText&gt;&lt;record&gt;&lt;titles&gt;&lt;title&gt;Developing a Learning Progression of Buoyancy to Model Conceptual Change: A Latent Class and Rule Space Model Analysis&lt;/title&gt;&lt;secondary-title&gt;Research in Science Education&lt;/secondary-title&gt;&lt;/titles&gt;&lt;contributors&gt;&lt;authors&gt;&lt;author&gt;Gao, Y&lt;/author&gt;&lt;author&gt;Zhai, X&lt;/author&gt;&lt;author&gt;Andersson, B&lt;/author&gt;&lt;author&gt;Zeng, P&lt;/author&gt;&lt;author&gt;Xin, T&lt;/author&gt;&lt;/authors&gt;&lt;/contributors&gt;&lt;added-date format="utc"&gt;1571657549&lt;/added-date&gt;&lt;ref-type name="Journal Article"&gt;17&lt;/ref-type&gt;&lt;dates&gt;&lt;year&gt;2018&lt;/year&gt;&lt;/dates&gt;&lt;rec-number&gt;165&lt;/rec-number&gt;&lt;last-updated-date format="utc"&gt;1571658513&lt;/last-updated-date&gt;&lt;electronic-resource-num&gt;https://doi.org/10.1007/s11165-018-9736-5&lt;/electronic-resource-num&gt;&lt;/record&gt;&lt;/Cite&gt;&lt;/EndNote&gt;</w:instrText>
      </w:r>
      <w:r>
        <w:fldChar w:fldCharType="separate"/>
      </w:r>
      <w:r>
        <w:rPr>
          <w:noProof/>
        </w:rPr>
        <w:t>(Gao et al., 2018)</w:t>
      </w:r>
      <w:r>
        <w:fldChar w:fldCharType="end"/>
      </w:r>
      <w:r>
        <w:t xml:space="preserve">. Students can use a displacement can to measure the weight of water displaced by an object and compare this to the weight of the object. Buoyancy is equal to the weight of the water (or other fluid) displaced. Objects that float displace their own weight of water. If the weight an object is greater than the weight of the water </w:t>
      </w:r>
      <w:r w:rsidR="00136558">
        <w:t xml:space="preserve">that </w:t>
      </w:r>
      <w:r>
        <w:t>the object displaces, then the object will sink. In other words: if an object is less dense than the liquid (or gas) that it is placed in it will float; if it is denser it will sink.</w:t>
      </w:r>
    </w:p>
    <w:p w:rsidR="00FB1FF6" w:rsidRPr="0022442F" w:rsidRDefault="00FB1FF6" w:rsidP="007650D7">
      <w:pPr>
        <w:spacing w:after="180"/>
        <w:rPr>
          <w:b/>
          <w:color w:val="5F497A" w:themeColor="accent4" w:themeShade="BF"/>
          <w:sz w:val="24"/>
        </w:rPr>
      </w:pPr>
      <w:r w:rsidRPr="0022442F">
        <w:rPr>
          <w:b/>
          <w:color w:val="5F497A" w:themeColor="accent4" w:themeShade="BF"/>
          <w:sz w:val="24"/>
        </w:rPr>
        <w:t>Guidance notes</w:t>
      </w:r>
    </w:p>
    <w:p w:rsidR="007147E6" w:rsidRDefault="00A001DB" w:rsidP="00FB1FF6">
      <w:pPr>
        <w:spacing w:after="180"/>
      </w:pPr>
      <w:r w:rsidRPr="00F23799">
        <w:rPr>
          <w:noProof/>
          <w:lang w:eastAsia="en-GB"/>
        </w:rPr>
        <w:drawing>
          <wp:anchor distT="0" distB="0" distL="114300" distR="114300" simplePos="0" relativeHeight="251717632" behindDoc="0" locked="0" layoutInCell="1" allowOverlap="1">
            <wp:simplePos x="0" y="0"/>
            <wp:positionH relativeFrom="column">
              <wp:posOffset>5417185</wp:posOffset>
            </wp:positionH>
            <wp:positionV relativeFrom="paragraph">
              <wp:posOffset>477124</wp:posOffset>
            </wp:positionV>
            <wp:extent cx="3537585" cy="2016125"/>
            <wp:effectExtent l="0" t="0" r="5715" b="3175"/>
            <wp:wrapSquare wrapText="bothSides"/>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37585" cy="2016125"/>
                    </a:xfrm>
                    <a:prstGeom prst="rect">
                      <a:avLst/>
                    </a:prstGeom>
                    <a:noFill/>
                  </pic:spPr>
                </pic:pic>
              </a:graphicData>
            </a:graphic>
            <wp14:sizeRelH relativeFrom="margin">
              <wp14:pctWidth>0</wp14:pctWidth>
            </wp14:sizeRelH>
            <wp14:sizeRelV relativeFrom="margin">
              <wp14:pctHeight>0</wp14:pctHeight>
            </wp14:sizeRelV>
          </wp:anchor>
        </w:drawing>
      </w:r>
      <w:r w:rsidR="00D13D34">
        <w:t>This key concept focuses on developing a</w:t>
      </w:r>
      <w:r w:rsidR="00136558">
        <w:t>n</w:t>
      </w:r>
      <w:r w:rsidR="00D13D34">
        <w:t xml:space="preserve"> understanding of why it is necessary to consider both mass and volume at the same time when determining </w:t>
      </w:r>
      <w:r w:rsidR="00136558">
        <w:t>whether or not an object will float</w:t>
      </w:r>
      <w:r w:rsidR="00D13D34">
        <w:t>. It is necessary for students to have this foundation if they are to appreciate the significance of measuring mass and volume, at a later stage of their studies, in order to calculate density.</w:t>
      </w:r>
    </w:p>
    <w:p w:rsidR="007147E6" w:rsidRPr="007147E6" w:rsidRDefault="007147E6" w:rsidP="00FB1FF6">
      <w:pPr>
        <w:spacing w:after="180"/>
        <w:rPr>
          <w:b/>
        </w:rPr>
      </w:pPr>
      <w:r w:rsidRPr="00F23799">
        <w:rPr>
          <w:b/>
        </w:rPr>
        <w:t>Why</w:t>
      </w:r>
      <w:r w:rsidRPr="007147E6">
        <w:rPr>
          <w:b/>
        </w:rPr>
        <w:t xml:space="preserve"> does buoyancy equal the weight of water displaced?</w:t>
      </w:r>
    </w:p>
    <w:p w:rsidR="007147E6" w:rsidRDefault="007147E6" w:rsidP="00FB1FF6">
      <w:pPr>
        <w:spacing w:after="180"/>
      </w:pPr>
      <w:r>
        <w:t xml:space="preserve">The reason why buoyancy is equal to the weight of water displaced arises from the fact that fluid pressure increases with depth. This idea is covered in the BEST concept: PMA2.2 Pressure in fluids. When a ‘ball of water’ is suspended in water the differences in pressure produce a resultant upward force on the ‘ball of water’ which exactly equals its weight. If the ‘ball of water’ is swapped for a solid ball, exactly the same pressure differences remain and the upwards force is the same – which is equal to the weight of the water the </w:t>
      </w:r>
      <w:r w:rsidR="00A32854">
        <w:t>solid ball has replaced</w:t>
      </w:r>
      <w:r w:rsidR="00514F31">
        <w:t xml:space="preserve"> </w:t>
      </w:r>
      <w:r w:rsidR="00514F31">
        <w:fldChar w:fldCharType="begin"/>
      </w:r>
      <w:r w:rsidR="00514F31">
        <w:instrText xml:space="preserve"> ADDIN EN.CITE &lt;EndNote&gt;&lt;Cite&gt;&lt;Author&gt;Nave&lt;/Author&gt;&lt;IDText&gt;HyperPhysics, Buoyancy&lt;/IDText&gt;&lt;DisplayText&gt;(Nave)&lt;/DisplayText&gt;&lt;record&gt;&lt;urls&gt;&lt;related-urls&gt;&lt;url&gt;http://230nsc1.phy-astr.gsu.edu/hbase/pbuoy.html&lt;/url&gt;&lt;/related-urls&gt;&lt;/urls&gt;&lt;titles&gt;&lt;title&gt;HyperPhysics, Buoyancy&lt;/title&gt;&lt;/titles&gt;&lt;contributors&gt;&lt;authors&gt;&lt;author&gt;Nave, C. R&lt;/author&gt;&lt;/authors&gt;&lt;/contributors&gt;&lt;added-date format="utc"&gt;1571742617&lt;/added-date&gt;&lt;ref-type name="Web Page"&gt;12&lt;/ref-type&gt;&lt;rec-number&gt;170&lt;/rec-number&gt;&lt;publisher&gt;Georgia State University, USA&lt;/publisher&gt;&lt;last-updated-date format="utc"&gt;1571742768&lt;/last-updated-date&gt;&lt;volume&gt;2019&lt;/volume&gt;&lt;/record&gt;&lt;/Cite&gt;&lt;/EndNote&gt;</w:instrText>
      </w:r>
      <w:r w:rsidR="00514F31">
        <w:fldChar w:fldCharType="separate"/>
      </w:r>
      <w:r w:rsidR="00514F31">
        <w:rPr>
          <w:noProof/>
        </w:rPr>
        <w:t>(Nave)</w:t>
      </w:r>
      <w:r w:rsidR="00514F31">
        <w:fldChar w:fldCharType="end"/>
      </w:r>
      <w:r w:rsidR="00A32854">
        <w:t>.</w:t>
      </w:r>
      <w:r>
        <w:t xml:space="preserve"> </w:t>
      </w:r>
    </w:p>
    <w:p w:rsidR="00A41DF2" w:rsidRDefault="00A41DF2" w:rsidP="00FB1FF6">
      <w:pPr>
        <w:spacing w:after="180"/>
        <w:rPr>
          <w:b/>
        </w:rPr>
      </w:pPr>
    </w:p>
    <w:p w:rsidR="00A41DF2" w:rsidRDefault="00A41DF2" w:rsidP="00FB1FF6">
      <w:pPr>
        <w:spacing w:after="180"/>
        <w:rPr>
          <w:b/>
        </w:rPr>
      </w:pPr>
    </w:p>
    <w:p w:rsidR="00A41DF2" w:rsidRDefault="00A41DF2" w:rsidP="00FB1FF6">
      <w:pPr>
        <w:spacing w:after="180"/>
        <w:rPr>
          <w:b/>
        </w:rPr>
      </w:pPr>
    </w:p>
    <w:p w:rsidR="00A32854" w:rsidRPr="00F86378" w:rsidRDefault="00F86378" w:rsidP="00FB1FF6">
      <w:pPr>
        <w:spacing w:after="180"/>
        <w:rPr>
          <w:b/>
        </w:rPr>
      </w:pPr>
      <w:r w:rsidRPr="00F86378">
        <w:rPr>
          <w:b/>
        </w:rPr>
        <w:lastRenderedPageBreak/>
        <w:t>Ice and water</w:t>
      </w:r>
    </w:p>
    <w:p w:rsidR="00F86378" w:rsidRDefault="00F86378" w:rsidP="00FB1FF6">
      <w:pPr>
        <w:spacing w:after="180"/>
      </w:pPr>
      <w:r>
        <w:t>Substances that have a higher density than others may have individual particles that have more mass, and/or the particles may be packed more closely together. In the case of ice and water, the</w:t>
      </w:r>
      <w:r w:rsidR="00A41DF2">
        <w:t xml:space="preserve"> particles in each are the same, which means that the particles in solid ice are further apart than the particles in liquid water. This is contrary to what students will have been taught about the separation of particles in solids and liquids. The fact that ice is commonly seen to float on water may need some explanation for observant and thoughtful students. The reason particles are further apart in ice than in water is because H</w:t>
      </w:r>
      <w:r w:rsidR="00A41DF2" w:rsidRPr="00A41DF2">
        <w:rPr>
          <w:vertAlign w:val="subscript"/>
        </w:rPr>
        <w:t>2</w:t>
      </w:r>
      <w:r w:rsidR="00A41DF2">
        <w:t>O molecules are polar. As water freezes, electric charges in the H</w:t>
      </w:r>
      <w:r w:rsidR="00A41DF2" w:rsidRPr="00A41DF2">
        <w:rPr>
          <w:vertAlign w:val="subscript"/>
        </w:rPr>
        <w:t>2</w:t>
      </w:r>
      <w:r w:rsidR="00A41DF2">
        <w:t>O molecules orientate them to form a lattice that increases the space between each one.</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514F31" w:rsidRPr="00514F31" w:rsidRDefault="00AE1A4E" w:rsidP="00514F31">
      <w:pPr>
        <w:pStyle w:val="EndNoteBibliography"/>
        <w:spacing w:after="120"/>
        <w:ind w:left="425" w:hanging="425"/>
      </w:pPr>
      <w:r>
        <w:fldChar w:fldCharType="begin"/>
      </w:r>
      <w:r>
        <w:instrText xml:space="preserve"> ADDIN EN.REFLIST </w:instrText>
      </w:r>
      <w:r>
        <w:fldChar w:fldCharType="separate"/>
      </w:r>
      <w:r w:rsidR="00514F31" w:rsidRPr="00514F31">
        <w:t xml:space="preserve">Allen, M. (2014). </w:t>
      </w:r>
      <w:r w:rsidR="00514F31" w:rsidRPr="00514F31">
        <w:rPr>
          <w:i/>
        </w:rPr>
        <w:t xml:space="preserve">Misconceptions in Primary Science, 2nd </w:t>
      </w:r>
      <w:r w:rsidR="00514F31" w:rsidRPr="00514F31">
        <w:t>edn</w:t>
      </w:r>
      <w:r w:rsidR="00514F31" w:rsidRPr="00514F31">
        <w:rPr>
          <w:i/>
        </w:rPr>
        <w:t xml:space="preserve"> </w:t>
      </w:r>
      <w:r w:rsidR="00514F31" w:rsidRPr="00514F31">
        <w:t>Berkshire, UK: Open University Press.</w:t>
      </w:r>
    </w:p>
    <w:p w:rsidR="00514F31" w:rsidRPr="00514F31" w:rsidRDefault="00514F31" w:rsidP="00514F31">
      <w:pPr>
        <w:pStyle w:val="EndNoteBibliography"/>
        <w:spacing w:after="120"/>
        <w:ind w:left="425" w:hanging="425"/>
      </w:pPr>
      <w:r w:rsidRPr="00514F31">
        <w:t xml:space="preserve">Biddulph, F. and Osborne, R. (1984). Pupils' ideas about floating and sinking. </w:t>
      </w:r>
      <w:r w:rsidRPr="00514F31">
        <w:rPr>
          <w:i/>
        </w:rPr>
        <w:t>Australian Science Education Research Association Conference.</w:t>
      </w:r>
      <w:r w:rsidRPr="00514F31">
        <w:t xml:space="preserve"> Melbourne.</w:t>
      </w:r>
    </w:p>
    <w:p w:rsidR="00514F31" w:rsidRPr="00514F31" w:rsidRDefault="00514F31" w:rsidP="00514F31">
      <w:pPr>
        <w:pStyle w:val="EndNoteBibliography"/>
        <w:spacing w:after="120"/>
        <w:ind w:left="425" w:hanging="425"/>
      </w:pPr>
      <w:r w:rsidRPr="00514F31">
        <w:t xml:space="preserve">Cepni, S. and Sahin, C. (2012). Effect of different teaching methods and techniques embedded in the 5E instructional model on students' learning about buoyancy force. </w:t>
      </w:r>
      <w:r w:rsidRPr="00514F31">
        <w:rPr>
          <w:i/>
        </w:rPr>
        <w:t>Eurasian Journal of Physics and Chemistry Education,</w:t>
      </w:r>
      <w:r w:rsidRPr="00514F31">
        <w:t xml:space="preserve"> 4(2)</w:t>
      </w:r>
      <w:r w:rsidRPr="00514F31">
        <w:rPr>
          <w:b/>
        </w:rPr>
        <w:t>,</w:t>
      </w:r>
      <w:r w:rsidRPr="00514F31">
        <w:t xml:space="preserve"> 97-127.</w:t>
      </w:r>
    </w:p>
    <w:p w:rsidR="00514F31" w:rsidRPr="00514F31" w:rsidRDefault="00514F31" w:rsidP="00514F31">
      <w:pPr>
        <w:pStyle w:val="EndNoteBibliography"/>
        <w:spacing w:after="120"/>
        <w:ind w:left="425" w:hanging="425"/>
      </w:pPr>
      <w:r w:rsidRPr="00514F31">
        <w:t xml:space="preserve">Driver, R., et al. (1994). </w:t>
      </w:r>
      <w:r w:rsidRPr="00514F31">
        <w:rPr>
          <w:i/>
        </w:rPr>
        <w:t xml:space="preserve">Making Sense of Secondary Science: Research into Children's Ideas, </w:t>
      </w:r>
      <w:r w:rsidRPr="00514F31">
        <w:t>London, UK: Routledge.</w:t>
      </w:r>
    </w:p>
    <w:p w:rsidR="00514F31" w:rsidRPr="00514F31" w:rsidRDefault="00514F31" w:rsidP="00514F31">
      <w:pPr>
        <w:pStyle w:val="EndNoteBibliography"/>
        <w:spacing w:after="120"/>
        <w:ind w:left="425" w:hanging="425"/>
      </w:pPr>
      <w:r w:rsidRPr="00514F31">
        <w:t xml:space="preserve">Gao, Y., et al. (2018). Developing a Learning Progression of Buoyancy to Model Conceptual Change: A Latent Class and Rule Space Model Analysis. </w:t>
      </w:r>
      <w:r w:rsidRPr="00514F31">
        <w:rPr>
          <w:i/>
        </w:rPr>
        <w:t>Research in Science Education</w:t>
      </w:r>
      <w:r w:rsidRPr="00514F31">
        <w:t>.</w:t>
      </w:r>
    </w:p>
    <w:p w:rsidR="00514F31" w:rsidRPr="00514F31" w:rsidRDefault="00514F31" w:rsidP="00514F31">
      <w:pPr>
        <w:pStyle w:val="EndNoteBibliography"/>
        <w:spacing w:after="120"/>
        <w:ind w:left="425" w:hanging="425"/>
      </w:pPr>
      <w:r w:rsidRPr="00514F31">
        <w:t xml:space="preserve">Nave, C. R. </w:t>
      </w:r>
      <w:r w:rsidRPr="00514F31">
        <w:rPr>
          <w:i/>
        </w:rPr>
        <w:t xml:space="preserve">HyperPhysics, Buoyancy </w:t>
      </w:r>
      <w:r w:rsidRPr="00514F31">
        <w:t xml:space="preserve">[Online]. Georgia State University, USA. Available at: </w:t>
      </w:r>
      <w:hyperlink r:id="rId21" w:history="1">
        <w:r w:rsidRPr="00514F31">
          <w:rPr>
            <w:rStyle w:val="Hyperlink"/>
            <w:color w:val="auto"/>
            <w:u w:val="none"/>
          </w:rPr>
          <w:t>http://230nsc1.phy-astr.gsu.edu/hbase/pbuoy.html</w:t>
        </w:r>
      </w:hyperlink>
      <w:r w:rsidRPr="00514F31">
        <w:t xml:space="preserve"> </w:t>
      </w:r>
      <w:r>
        <w:t xml:space="preserve">[Accessed October </w:t>
      </w:r>
      <w:r w:rsidRPr="00514F31">
        <w:t>2019].</w:t>
      </w:r>
    </w:p>
    <w:p w:rsidR="00514F31" w:rsidRPr="00514F31" w:rsidRDefault="00514F31" w:rsidP="00514F31">
      <w:pPr>
        <w:pStyle w:val="EndNoteBibliography"/>
        <w:spacing w:after="120"/>
        <w:ind w:left="425" w:hanging="425"/>
      </w:pPr>
      <w:r w:rsidRPr="00514F31">
        <w:t xml:space="preserve">Paik, S.-H., et al. (2017). Developing a Four-level Learning Progression and Assessment for the Concept of Buoyancy. </w:t>
      </w:r>
      <w:r w:rsidRPr="00514F31">
        <w:rPr>
          <w:i/>
        </w:rPr>
        <w:t>Eurasia journal of mathematics, science and technology education,</w:t>
      </w:r>
      <w:r w:rsidRPr="00514F31">
        <w:t xml:space="preserve"> 13(8)</w:t>
      </w:r>
      <w:r w:rsidRPr="00514F31">
        <w:rPr>
          <w:b/>
        </w:rPr>
        <w:t>,</w:t>
      </w:r>
      <w:r w:rsidRPr="00514F31">
        <w:t xml:space="preserve"> 4965-4986.</w:t>
      </w:r>
    </w:p>
    <w:p w:rsidR="00514F31" w:rsidRPr="00514F31" w:rsidRDefault="00514F31" w:rsidP="00514F31">
      <w:pPr>
        <w:pStyle w:val="EndNoteBibliography"/>
        <w:spacing w:after="120"/>
        <w:ind w:left="425" w:hanging="425"/>
      </w:pPr>
      <w:r w:rsidRPr="00514F31">
        <w:t xml:space="preserve">Unal, S. and Costu, B. (2005). Problematic issue for students: Does it sink or float? </w:t>
      </w:r>
      <w:r w:rsidRPr="00514F31">
        <w:rPr>
          <w:i/>
        </w:rPr>
        <w:t>Asia-Pacific Forum on Science Learning and Teaching,</w:t>
      </w:r>
      <w:r w:rsidRPr="00514F31">
        <w:t xml:space="preserve"> 6(1)</w:t>
      </w:r>
      <w:r w:rsidRPr="00514F31">
        <w:rPr>
          <w:b/>
        </w:rPr>
        <w:t>,</w:t>
      </w:r>
      <w:r w:rsidRPr="00514F31">
        <w:t xml:space="preserve"> Article 3.</w:t>
      </w:r>
    </w:p>
    <w:p w:rsidR="00D43788" w:rsidRDefault="00AE1A4E" w:rsidP="00514F31">
      <w:pPr>
        <w:spacing w:after="120" w:line="276" w:lineRule="auto"/>
        <w:ind w:left="425" w:hanging="425"/>
      </w:pPr>
      <w:r>
        <w:fldChar w:fldCharType="end"/>
      </w:r>
    </w:p>
    <w:sectPr w:rsidR="00D43788" w:rsidSect="00F34FD0">
      <w:headerReference w:type="default" r:id="rId22"/>
      <w:footerReference w:type="default" r:id="rId23"/>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F05" w:rsidRDefault="00D02F05" w:rsidP="000B473B">
      <w:r>
        <w:separator/>
      </w:r>
    </w:p>
  </w:endnote>
  <w:endnote w:type="continuationSeparator" w:id="0">
    <w:p w:rsidR="00D02F05" w:rsidRDefault="00D02F0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7B3178"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26516">
      <w:rPr>
        <w:noProof/>
      </w:rPr>
      <w:t>7</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F05" w:rsidRDefault="00D02F05" w:rsidP="000B473B">
      <w:r>
        <w:separator/>
      </w:r>
    </w:p>
  </w:footnote>
  <w:footnote w:type="continuationSeparator" w:id="0">
    <w:p w:rsidR="00D02F05" w:rsidRDefault="00D02F0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EFE25"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02F05"/>
    <w:rsid w:val="000026EA"/>
    <w:rsid w:val="00015578"/>
    <w:rsid w:val="00024731"/>
    <w:rsid w:val="00026DEC"/>
    <w:rsid w:val="0003079C"/>
    <w:rsid w:val="00031FFA"/>
    <w:rsid w:val="000323DD"/>
    <w:rsid w:val="00036EBA"/>
    <w:rsid w:val="000505CA"/>
    <w:rsid w:val="0005709C"/>
    <w:rsid w:val="000947E2"/>
    <w:rsid w:val="00095E04"/>
    <w:rsid w:val="000A4D1F"/>
    <w:rsid w:val="000B473B"/>
    <w:rsid w:val="000C1FED"/>
    <w:rsid w:val="000D0E89"/>
    <w:rsid w:val="000D28BD"/>
    <w:rsid w:val="000D2978"/>
    <w:rsid w:val="000E2689"/>
    <w:rsid w:val="000F5E42"/>
    <w:rsid w:val="000F64A4"/>
    <w:rsid w:val="00104331"/>
    <w:rsid w:val="00136558"/>
    <w:rsid w:val="00137415"/>
    <w:rsid w:val="00142613"/>
    <w:rsid w:val="0014461B"/>
    <w:rsid w:val="00144DA7"/>
    <w:rsid w:val="00161D3F"/>
    <w:rsid w:val="001915D4"/>
    <w:rsid w:val="001A1FED"/>
    <w:rsid w:val="001A40E2"/>
    <w:rsid w:val="001B2603"/>
    <w:rsid w:val="001C45B5"/>
    <w:rsid w:val="001C4805"/>
    <w:rsid w:val="001F285E"/>
    <w:rsid w:val="001F2B4D"/>
    <w:rsid w:val="00204753"/>
    <w:rsid w:val="00217659"/>
    <w:rsid w:val="002178AC"/>
    <w:rsid w:val="00223388"/>
    <w:rsid w:val="0022442F"/>
    <w:rsid w:val="00224B69"/>
    <w:rsid w:val="0022547C"/>
    <w:rsid w:val="00233BFE"/>
    <w:rsid w:val="0025410A"/>
    <w:rsid w:val="0028012F"/>
    <w:rsid w:val="00280B49"/>
    <w:rsid w:val="00287876"/>
    <w:rsid w:val="0029248B"/>
    <w:rsid w:val="00292C53"/>
    <w:rsid w:val="00294E22"/>
    <w:rsid w:val="002A0EF2"/>
    <w:rsid w:val="002C194B"/>
    <w:rsid w:val="002C36ED"/>
    <w:rsid w:val="002C59BA"/>
    <w:rsid w:val="002C7EB7"/>
    <w:rsid w:val="002F08DF"/>
    <w:rsid w:val="002F3535"/>
    <w:rsid w:val="00301AA9"/>
    <w:rsid w:val="003117F6"/>
    <w:rsid w:val="00313A4C"/>
    <w:rsid w:val="003512FB"/>
    <w:rsid w:val="003533B8"/>
    <w:rsid w:val="003752BE"/>
    <w:rsid w:val="00377662"/>
    <w:rsid w:val="003A346A"/>
    <w:rsid w:val="003B13BC"/>
    <w:rsid w:val="003B2917"/>
    <w:rsid w:val="003B541B"/>
    <w:rsid w:val="003C7537"/>
    <w:rsid w:val="003E2B2F"/>
    <w:rsid w:val="003E6046"/>
    <w:rsid w:val="003F16F9"/>
    <w:rsid w:val="003F1EF8"/>
    <w:rsid w:val="00430C1F"/>
    <w:rsid w:val="004338F2"/>
    <w:rsid w:val="00437318"/>
    <w:rsid w:val="00442595"/>
    <w:rsid w:val="0045323E"/>
    <w:rsid w:val="0047091F"/>
    <w:rsid w:val="00473E00"/>
    <w:rsid w:val="004A08D7"/>
    <w:rsid w:val="004B0EE1"/>
    <w:rsid w:val="004B532F"/>
    <w:rsid w:val="004D0D83"/>
    <w:rsid w:val="004E1DF1"/>
    <w:rsid w:val="004E2255"/>
    <w:rsid w:val="004E5592"/>
    <w:rsid w:val="004F3A89"/>
    <w:rsid w:val="005004D9"/>
    <w:rsid w:val="0050055B"/>
    <w:rsid w:val="00514F31"/>
    <w:rsid w:val="00524710"/>
    <w:rsid w:val="005519D4"/>
    <w:rsid w:val="00555342"/>
    <w:rsid w:val="00555A3B"/>
    <w:rsid w:val="005560E2"/>
    <w:rsid w:val="00575039"/>
    <w:rsid w:val="005767D5"/>
    <w:rsid w:val="00592C7A"/>
    <w:rsid w:val="005A40BB"/>
    <w:rsid w:val="005A452E"/>
    <w:rsid w:val="005B4275"/>
    <w:rsid w:val="005E3630"/>
    <w:rsid w:val="005E383D"/>
    <w:rsid w:val="005F115D"/>
    <w:rsid w:val="005F1DA6"/>
    <w:rsid w:val="005F22E7"/>
    <w:rsid w:val="005F454A"/>
    <w:rsid w:val="00620AFF"/>
    <w:rsid w:val="006355D8"/>
    <w:rsid w:val="00642ECD"/>
    <w:rsid w:val="0064587F"/>
    <w:rsid w:val="0065024C"/>
    <w:rsid w:val="006502A0"/>
    <w:rsid w:val="006772F5"/>
    <w:rsid w:val="006A01DE"/>
    <w:rsid w:val="006B0615"/>
    <w:rsid w:val="006C2DD9"/>
    <w:rsid w:val="006D166B"/>
    <w:rsid w:val="006E616D"/>
    <w:rsid w:val="006E73AB"/>
    <w:rsid w:val="006F01D8"/>
    <w:rsid w:val="006F3279"/>
    <w:rsid w:val="00704AEE"/>
    <w:rsid w:val="007100E4"/>
    <w:rsid w:val="007147E6"/>
    <w:rsid w:val="00714B06"/>
    <w:rsid w:val="00722F9A"/>
    <w:rsid w:val="00750BC7"/>
    <w:rsid w:val="00754539"/>
    <w:rsid w:val="00757297"/>
    <w:rsid w:val="00760E08"/>
    <w:rsid w:val="00761D32"/>
    <w:rsid w:val="00764DED"/>
    <w:rsid w:val="007650D7"/>
    <w:rsid w:val="00783BC5"/>
    <w:rsid w:val="00793235"/>
    <w:rsid w:val="00795CB4"/>
    <w:rsid w:val="007A15C7"/>
    <w:rsid w:val="007A3C86"/>
    <w:rsid w:val="007A683E"/>
    <w:rsid w:val="007A748B"/>
    <w:rsid w:val="007B720F"/>
    <w:rsid w:val="007C3B28"/>
    <w:rsid w:val="007D1D65"/>
    <w:rsid w:val="007E0A9E"/>
    <w:rsid w:val="007E4B86"/>
    <w:rsid w:val="007E5309"/>
    <w:rsid w:val="007F5C12"/>
    <w:rsid w:val="00800DE1"/>
    <w:rsid w:val="00802843"/>
    <w:rsid w:val="00813F47"/>
    <w:rsid w:val="00821188"/>
    <w:rsid w:val="0083330B"/>
    <w:rsid w:val="008450D6"/>
    <w:rsid w:val="008544D9"/>
    <w:rsid w:val="00856FCA"/>
    <w:rsid w:val="00872EB4"/>
    <w:rsid w:val="00873B8C"/>
    <w:rsid w:val="008976FB"/>
    <w:rsid w:val="008A405F"/>
    <w:rsid w:val="008A4BCA"/>
    <w:rsid w:val="008C7F34"/>
    <w:rsid w:val="008E032D"/>
    <w:rsid w:val="008E13E0"/>
    <w:rsid w:val="008E580C"/>
    <w:rsid w:val="0090047A"/>
    <w:rsid w:val="00913AD8"/>
    <w:rsid w:val="00917940"/>
    <w:rsid w:val="00925026"/>
    <w:rsid w:val="00931264"/>
    <w:rsid w:val="009331AD"/>
    <w:rsid w:val="00942A4B"/>
    <w:rsid w:val="00961D59"/>
    <w:rsid w:val="00971484"/>
    <w:rsid w:val="00972CDD"/>
    <w:rsid w:val="00974D00"/>
    <w:rsid w:val="009B2D55"/>
    <w:rsid w:val="009C0343"/>
    <w:rsid w:val="009D762B"/>
    <w:rsid w:val="009E0D11"/>
    <w:rsid w:val="00A001DB"/>
    <w:rsid w:val="00A0702A"/>
    <w:rsid w:val="00A17988"/>
    <w:rsid w:val="00A24A16"/>
    <w:rsid w:val="00A31617"/>
    <w:rsid w:val="00A32854"/>
    <w:rsid w:val="00A33F3B"/>
    <w:rsid w:val="00A37D14"/>
    <w:rsid w:val="00A41DF2"/>
    <w:rsid w:val="00A6168B"/>
    <w:rsid w:val="00A62028"/>
    <w:rsid w:val="00A62473"/>
    <w:rsid w:val="00A92A2E"/>
    <w:rsid w:val="00A94DBF"/>
    <w:rsid w:val="00A962E1"/>
    <w:rsid w:val="00AA6236"/>
    <w:rsid w:val="00AA66F3"/>
    <w:rsid w:val="00AB6AE7"/>
    <w:rsid w:val="00AB7C04"/>
    <w:rsid w:val="00AD21F5"/>
    <w:rsid w:val="00AD5043"/>
    <w:rsid w:val="00AE1472"/>
    <w:rsid w:val="00AE1A4E"/>
    <w:rsid w:val="00AE3956"/>
    <w:rsid w:val="00AE5FB7"/>
    <w:rsid w:val="00AF0E74"/>
    <w:rsid w:val="00AF7DB9"/>
    <w:rsid w:val="00B06225"/>
    <w:rsid w:val="00B16E45"/>
    <w:rsid w:val="00B23C7A"/>
    <w:rsid w:val="00B26516"/>
    <w:rsid w:val="00B322C0"/>
    <w:rsid w:val="00B346B5"/>
    <w:rsid w:val="00B37C53"/>
    <w:rsid w:val="00B42E62"/>
    <w:rsid w:val="00B46FF9"/>
    <w:rsid w:val="00B6703E"/>
    <w:rsid w:val="00B75483"/>
    <w:rsid w:val="00B75BE1"/>
    <w:rsid w:val="00B81360"/>
    <w:rsid w:val="00BA5A78"/>
    <w:rsid w:val="00BA7952"/>
    <w:rsid w:val="00BB3EA6"/>
    <w:rsid w:val="00BD3160"/>
    <w:rsid w:val="00BE27BE"/>
    <w:rsid w:val="00BF0BBF"/>
    <w:rsid w:val="00BF6C8A"/>
    <w:rsid w:val="00C05571"/>
    <w:rsid w:val="00C06521"/>
    <w:rsid w:val="00C15989"/>
    <w:rsid w:val="00C235D6"/>
    <w:rsid w:val="00C246CE"/>
    <w:rsid w:val="00C4610C"/>
    <w:rsid w:val="00C54436"/>
    <w:rsid w:val="00C5553B"/>
    <w:rsid w:val="00C57FA2"/>
    <w:rsid w:val="00C63844"/>
    <w:rsid w:val="00C72918"/>
    <w:rsid w:val="00C87388"/>
    <w:rsid w:val="00C8765D"/>
    <w:rsid w:val="00C9265A"/>
    <w:rsid w:val="00CA7A5E"/>
    <w:rsid w:val="00CC2E4D"/>
    <w:rsid w:val="00CC3F9A"/>
    <w:rsid w:val="00CC78A5"/>
    <w:rsid w:val="00CC7B16"/>
    <w:rsid w:val="00CD2673"/>
    <w:rsid w:val="00CD351A"/>
    <w:rsid w:val="00CE15FE"/>
    <w:rsid w:val="00CE7273"/>
    <w:rsid w:val="00D02E15"/>
    <w:rsid w:val="00D02F05"/>
    <w:rsid w:val="00D12C25"/>
    <w:rsid w:val="00D13D34"/>
    <w:rsid w:val="00D14F44"/>
    <w:rsid w:val="00D278E8"/>
    <w:rsid w:val="00D3630D"/>
    <w:rsid w:val="00D40D1E"/>
    <w:rsid w:val="00D421C8"/>
    <w:rsid w:val="00D43788"/>
    <w:rsid w:val="00D44604"/>
    <w:rsid w:val="00D479B3"/>
    <w:rsid w:val="00D51657"/>
    <w:rsid w:val="00D52283"/>
    <w:rsid w:val="00D524E5"/>
    <w:rsid w:val="00D5423D"/>
    <w:rsid w:val="00D566D1"/>
    <w:rsid w:val="00D64A5E"/>
    <w:rsid w:val="00D72FEF"/>
    <w:rsid w:val="00D755FA"/>
    <w:rsid w:val="00DB7449"/>
    <w:rsid w:val="00DB7471"/>
    <w:rsid w:val="00DC4A4E"/>
    <w:rsid w:val="00DD1874"/>
    <w:rsid w:val="00DD63BD"/>
    <w:rsid w:val="00DF690A"/>
    <w:rsid w:val="00E062E1"/>
    <w:rsid w:val="00E172C6"/>
    <w:rsid w:val="00E22B55"/>
    <w:rsid w:val="00E24309"/>
    <w:rsid w:val="00E31116"/>
    <w:rsid w:val="00E47DEF"/>
    <w:rsid w:val="00E53D82"/>
    <w:rsid w:val="00E54437"/>
    <w:rsid w:val="00E753A9"/>
    <w:rsid w:val="00E75DFB"/>
    <w:rsid w:val="00E85A74"/>
    <w:rsid w:val="00EE6B97"/>
    <w:rsid w:val="00F129F9"/>
    <w:rsid w:val="00F12C3B"/>
    <w:rsid w:val="00F23799"/>
    <w:rsid w:val="00F26884"/>
    <w:rsid w:val="00F34FD0"/>
    <w:rsid w:val="00F40370"/>
    <w:rsid w:val="00F55ABC"/>
    <w:rsid w:val="00F604E7"/>
    <w:rsid w:val="00F66FF6"/>
    <w:rsid w:val="00F67BA9"/>
    <w:rsid w:val="00F74824"/>
    <w:rsid w:val="00F75F0D"/>
    <w:rsid w:val="00F82443"/>
    <w:rsid w:val="00F8355F"/>
    <w:rsid w:val="00F86378"/>
    <w:rsid w:val="00F90D64"/>
    <w:rsid w:val="00F95F3E"/>
    <w:rsid w:val="00FA14FE"/>
    <w:rsid w:val="00FA3196"/>
    <w:rsid w:val="00FB1FF6"/>
    <w:rsid w:val="00FC3779"/>
    <w:rsid w:val="00FD02D9"/>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AFC85D1F-5232-48D9-8FD3-25008AAE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AE1A4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E1A4E"/>
    <w:rPr>
      <w:rFonts w:ascii="Calibri" w:hAnsi="Calibri" w:cs="Calibri"/>
      <w:noProof/>
      <w:lang w:val="en-US"/>
    </w:rPr>
  </w:style>
  <w:style w:type="paragraph" w:customStyle="1" w:styleId="EndNoteBibliography">
    <w:name w:val="EndNote Bibliography"/>
    <w:basedOn w:val="Normal"/>
    <w:link w:val="EndNoteBibliographyChar"/>
    <w:rsid w:val="00AE1A4E"/>
    <w:rPr>
      <w:rFonts w:ascii="Calibri" w:hAnsi="Calibri" w:cs="Calibri"/>
      <w:noProof/>
      <w:lang w:val="en-US"/>
    </w:rPr>
  </w:style>
  <w:style w:type="character" w:customStyle="1" w:styleId="EndNoteBibliographyChar">
    <w:name w:val="EndNote Bibliography Char"/>
    <w:basedOn w:val="DefaultParagraphFont"/>
    <w:link w:val="EndNoteBibliography"/>
    <w:rsid w:val="00AE1A4E"/>
    <w:rPr>
      <w:rFonts w:ascii="Calibri" w:hAnsi="Calibri" w:cs="Calibri"/>
      <w:noProof/>
      <w:lang w:val="en-US"/>
    </w:rPr>
  </w:style>
  <w:style w:type="character" w:styleId="Hyperlink">
    <w:name w:val="Hyperlink"/>
    <w:basedOn w:val="DefaultParagraphFont"/>
    <w:uiPriority w:val="99"/>
    <w:unhideWhenUsed/>
    <w:rsid w:val="00514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yperlink" Target="http://230nsc1.phy-astr.gsu.edu/hbase/pbuoy.html" TargetMode="Externa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.template_physics_key concept_teacher notes.dotx</Template>
  <TotalTime>1458</TotalTime>
  <Pages>7</Pages>
  <Words>2916</Words>
  <Characters>16622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64</cp:revision>
  <cp:lastPrinted>2018-01-23T10:03:00Z</cp:lastPrinted>
  <dcterms:created xsi:type="dcterms:W3CDTF">2019-10-21T11:03:00Z</dcterms:created>
  <dcterms:modified xsi:type="dcterms:W3CDTF">2019-10-31T15:21:00Z</dcterms:modified>
</cp:coreProperties>
</file>